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43D03" w14:textId="0DAD5DDD" w:rsidR="00DF740F" w:rsidRPr="00D826B8" w:rsidRDefault="00574689" w:rsidP="00EA35BD">
      <w:pPr>
        <w:tabs>
          <w:tab w:val="left" w:pos="1155"/>
          <w:tab w:val="center" w:pos="4536"/>
          <w:tab w:val="left" w:pos="6480"/>
        </w:tabs>
        <w:spacing w:before="120"/>
        <w:jc w:val="center"/>
        <w:outlineLvl w:val="0"/>
        <w:rPr>
          <w:b/>
          <w:bCs/>
        </w:rPr>
      </w:pPr>
      <w:r>
        <w:rPr>
          <w:b/>
          <w:bCs/>
        </w:rPr>
        <w:t>CAHIER DES CAHRGES</w:t>
      </w:r>
      <w:r w:rsidR="00EA35BD">
        <w:rPr>
          <w:b/>
          <w:bCs/>
        </w:rPr>
        <w:t xml:space="preserve"> (</w:t>
      </w:r>
      <w:r>
        <w:rPr>
          <w:b/>
          <w:bCs/>
        </w:rPr>
        <w:t>CDC</w:t>
      </w:r>
      <w:r w:rsidR="00EA35BD">
        <w:rPr>
          <w:b/>
          <w:bCs/>
        </w:rPr>
        <w:t>)</w:t>
      </w:r>
    </w:p>
    <w:p w14:paraId="1A0AA244" w14:textId="77777777" w:rsidR="00497D93" w:rsidRPr="00D826B8" w:rsidRDefault="00497D93" w:rsidP="00D54D8F">
      <w:pPr>
        <w:tabs>
          <w:tab w:val="left" w:pos="1155"/>
          <w:tab w:val="center" w:pos="4536"/>
          <w:tab w:val="left" w:pos="6480"/>
        </w:tabs>
        <w:spacing w:before="120"/>
        <w:outlineLvl w:val="0"/>
      </w:pPr>
    </w:p>
    <w:p w14:paraId="606B9AEF" w14:textId="1066BAE7" w:rsidR="00497D93" w:rsidRPr="00EA35BD" w:rsidRDefault="00EA35BD" w:rsidP="00497D93">
      <w:pPr>
        <w:spacing w:before="60"/>
        <w:jc w:val="both"/>
        <w:outlineLvl w:val="0"/>
        <w:rPr>
          <w:b/>
          <w:bCs/>
          <w:u w:val="single"/>
        </w:rPr>
      </w:pPr>
      <w:r w:rsidRPr="00EA35BD">
        <w:rPr>
          <w:b/>
          <w:bCs/>
          <w:u w:val="single"/>
        </w:rPr>
        <w:t xml:space="preserve">Informations générales </w:t>
      </w:r>
    </w:p>
    <w:p w14:paraId="11A1269F" w14:textId="77777777" w:rsidR="00EA35BD" w:rsidRPr="00D826B8" w:rsidRDefault="00EA35BD" w:rsidP="00497D93">
      <w:pPr>
        <w:spacing w:before="60"/>
        <w:jc w:val="both"/>
        <w:outlineLvl w:val="0"/>
      </w:pPr>
    </w:p>
    <w:tbl>
      <w:tblPr>
        <w:tblW w:w="9237" w:type="dxa"/>
        <w:tblInd w:w="-95"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68"/>
        <w:gridCol w:w="6169"/>
      </w:tblGrid>
      <w:tr w:rsidR="00497D93" w:rsidRPr="00D826B8" w14:paraId="6131800A" w14:textId="77777777" w:rsidTr="00EA35BD">
        <w:trPr>
          <w:trHeight w:val="515"/>
        </w:trPr>
        <w:tc>
          <w:tcPr>
            <w:tcW w:w="3068" w:type="dxa"/>
            <w:tcBorders>
              <w:top w:val="single" w:sz="4" w:space="0" w:color="auto"/>
              <w:bottom w:val="dashSmallGap" w:sz="4" w:space="0" w:color="auto"/>
              <w:right w:val="single" w:sz="2" w:space="0" w:color="000000"/>
            </w:tcBorders>
            <w:shd w:val="clear" w:color="auto" w:fill="E6E6E6"/>
          </w:tcPr>
          <w:p w14:paraId="1B23A25C" w14:textId="77777777" w:rsidR="00497D93" w:rsidRPr="00D826B8" w:rsidRDefault="00497D93">
            <w:pPr>
              <w:spacing w:before="60"/>
              <w:outlineLvl w:val="0"/>
            </w:pPr>
            <w:r w:rsidRPr="00D826B8">
              <w:t>Intitulé de la mission</w:t>
            </w:r>
          </w:p>
        </w:tc>
        <w:tc>
          <w:tcPr>
            <w:tcW w:w="6169" w:type="dxa"/>
            <w:tcBorders>
              <w:top w:val="single" w:sz="4" w:space="0" w:color="auto"/>
              <w:left w:val="single" w:sz="2" w:space="0" w:color="000000"/>
              <w:bottom w:val="dashSmallGap" w:sz="4" w:space="0" w:color="auto"/>
            </w:tcBorders>
          </w:tcPr>
          <w:p w14:paraId="41186D9A" w14:textId="3F041951" w:rsidR="00424452" w:rsidRPr="00D826B8" w:rsidRDefault="00424452" w:rsidP="00424452">
            <w:pPr>
              <w:tabs>
                <w:tab w:val="left" w:pos="1155"/>
                <w:tab w:val="center" w:pos="4536"/>
                <w:tab w:val="left" w:pos="6480"/>
              </w:tabs>
              <w:spacing w:before="120"/>
              <w:outlineLvl w:val="0"/>
            </w:pPr>
            <w:r w:rsidRPr="00424452">
              <w:t xml:space="preserve">Recrutement d’une firme pour la mise </w:t>
            </w:r>
            <w:r>
              <w:t>à</w:t>
            </w:r>
            <w:r w:rsidRPr="00424452">
              <w:t xml:space="preserve"> jour du programme de cycle long de formation de techniciens en finances publiques de l’école nationale d’administration financière</w:t>
            </w:r>
            <w:r>
              <w:t xml:space="preserve"> (</w:t>
            </w:r>
            <w:r w:rsidRPr="00424452">
              <w:t>état des lieux/étude faisabilité/curriculum révisé</w:t>
            </w:r>
            <w:r>
              <w:t>)</w:t>
            </w:r>
          </w:p>
        </w:tc>
      </w:tr>
      <w:tr w:rsidR="00497D93" w:rsidRPr="00D826B8" w14:paraId="4848B347" w14:textId="77777777" w:rsidTr="00EA35BD">
        <w:trPr>
          <w:trHeight w:val="315"/>
        </w:trPr>
        <w:tc>
          <w:tcPr>
            <w:tcW w:w="3068" w:type="dxa"/>
            <w:tcBorders>
              <w:top w:val="dashSmallGap" w:sz="4" w:space="0" w:color="auto"/>
              <w:bottom w:val="dashSmallGap" w:sz="4" w:space="0" w:color="auto"/>
              <w:right w:val="single" w:sz="2" w:space="0" w:color="000000"/>
            </w:tcBorders>
            <w:shd w:val="clear" w:color="auto" w:fill="E6E6E6"/>
          </w:tcPr>
          <w:p w14:paraId="4309EA55" w14:textId="77777777" w:rsidR="00497D93" w:rsidRPr="00D826B8" w:rsidRDefault="00497D93">
            <w:pPr>
              <w:spacing w:before="60"/>
              <w:outlineLvl w:val="0"/>
            </w:pPr>
            <w:r w:rsidRPr="00D826B8">
              <w:t>Bénéficiaire(s)</w:t>
            </w:r>
          </w:p>
        </w:tc>
        <w:tc>
          <w:tcPr>
            <w:tcW w:w="6169" w:type="dxa"/>
            <w:tcBorders>
              <w:top w:val="dashSmallGap" w:sz="4" w:space="0" w:color="auto"/>
              <w:left w:val="single" w:sz="2" w:space="0" w:color="000000"/>
              <w:bottom w:val="dashSmallGap" w:sz="4" w:space="0" w:color="auto"/>
            </w:tcBorders>
          </w:tcPr>
          <w:p w14:paraId="6E6F8B87" w14:textId="775331FF" w:rsidR="00497D93" w:rsidRPr="00D826B8" w:rsidRDefault="00915436">
            <w:pPr>
              <w:spacing w:before="60"/>
              <w:jc w:val="center"/>
              <w:outlineLvl w:val="0"/>
            </w:pPr>
            <w:r w:rsidRPr="00D826B8">
              <w:t>Ecole Nationale d’Administration financière (ENAF)</w:t>
            </w:r>
            <w:r>
              <w:t xml:space="preserve">, service déconcentré </w:t>
            </w:r>
            <w:r w:rsidR="00DE176A" w:rsidRPr="00D826B8">
              <w:t>du Ministère de l’Economie et des Finances</w:t>
            </w:r>
            <w:r>
              <w:t xml:space="preserve"> (MEF).</w:t>
            </w:r>
          </w:p>
        </w:tc>
      </w:tr>
      <w:tr w:rsidR="00497D93" w:rsidRPr="00D826B8" w14:paraId="30DAC7C2" w14:textId="77777777" w:rsidTr="00EA35BD">
        <w:trPr>
          <w:trHeight w:val="330"/>
        </w:trPr>
        <w:tc>
          <w:tcPr>
            <w:tcW w:w="3068" w:type="dxa"/>
            <w:tcBorders>
              <w:top w:val="dashSmallGap" w:sz="4" w:space="0" w:color="auto"/>
              <w:bottom w:val="dashSmallGap" w:sz="4" w:space="0" w:color="auto"/>
              <w:right w:val="single" w:sz="2" w:space="0" w:color="000000"/>
            </w:tcBorders>
            <w:shd w:val="clear" w:color="auto" w:fill="E6E6E6"/>
          </w:tcPr>
          <w:p w14:paraId="281280BD" w14:textId="77777777" w:rsidR="00497D93" w:rsidRPr="00D826B8" w:rsidRDefault="00497D93">
            <w:pPr>
              <w:spacing w:before="60"/>
              <w:outlineLvl w:val="0"/>
            </w:pPr>
            <w:r w:rsidRPr="00D826B8">
              <w:t>Pays</w:t>
            </w:r>
          </w:p>
        </w:tc>
        <w:tc>
          <w:tcPr>
            <w:tcW w:w="6169" w:type="dxa"/>
            <w:tcBorders>
              <w:top w:val="dashSmallGap" w:sz="4" w:space="0" w:color="auto"/>
              <w:left w:val="single" w:sz="2" w:space="0" w:color="000000"/>
              <w:bottom w:val="dashSmallGap" w:sz="4" w:space="0" w:color="auto"/>
            </w:tcBorders>
            <w:vAlign w:val="bottom"/>
          </w:tcPr>
          <w:p w14:paraId="68E1933F" w14:textId="77777777" w:rsidR="00497D93" w:rsidRPr="00D826B8" w:rsidRDefault="00497D93">
            <w:pPr>
              <w:jc w:val="center"/>
            </w:pPr>
            <w:r w:rsidRPr="00D826B8">
              <w:t xml:space="preserve">Haïti </w:t>
            </w:r>
          </w:p>
        </w:tc>
      </w:tr>
      <w:tr w:rsidR="00497D93" w:rsidRPr="00D826B8" w14:paraId="233E1FD9" w14:textId="77777777" w:rsidTr="00EA35BD">
        <w:trPr>
          <w:trHeight w:val="330"/>
        </w:trPr>
        <w:tc>
          <w:tcPr>
            <w:tcW w:w="3068" w:type="dxa"/>
            <w:tcBorders>
              <w:top w:val="dashSmallGap" w:sz="4" w:space="0" w:color="auto"/>
              <w:bottom w:val="dashSmallGap" w:sz="4" w:space="0" w:color="auto"/>
              <w:right w:val="single" w:sz="2" w:space="0" w:color="000000"/>
            </w:tcBorders>
            <w:shd w:val="clear" w:color="auto" w:fill="E6E6E6"/>
          </w:tcPr>
          <w:p w14:paraId="542E1838" w14:textId="26A37371" w:rsidR="00497D93" w:rsidRPr="00D826B8" w:rsidRDefault="00497D93">
            <w:pPr>
              <w:spacing w:before="60"/>
              <w:outlineLvl w:val="0"/>
            </w:pPr>
            <w:r w:rsidRPr="00D826B8">
              <w:t>Durée totale des jours prévus</w:t>
            </w:r>
            <w:r w:rsidR="00574689">
              <w:t xml:space="preserve"> pour l’exécution</w:t>
            </w:r>
          </w:p>
        </w:tc>
        <w:tc>
          <w:tcPr>
            <w:tcW w:w="6169" w:type="dxa"/>
            <w:tcBorders>
              <w:top w:val="dashSmallGap" w:sz="4" w:space="0" w:color="auto"/>
              <w:left w:val="single" w:sz="2" w:space="0" w:color="000000"/>
              <w:bottom w:val="dashSmallGap" w:sz="4" w:space="0" w:color="auto"/>
            </w:tcBorders>
          </w:tcPr>
          <w:p w14:paraId="076405C6" w14:textId="17F521CE" w:rsidR="00497D93" w:rsidRPr="00D826B8" w:rsidRDefault="00245B8E" w:rsidP="00D826B8">
            <w:pPr>
              <w:spacing w:before="60"/>
              <w:jc w:val="center"/>
              <w:outlineLvl w:val="0"/>
            </w:pPr>
            <w:r>
              <w:t>75 jours</w:t>
            </w:r>
          </w:p>
        </w:tc>
      </w:tr>
      <w:tr w:rsidR="00574689" w:rsidRPr="00D826B8" w14:paraId="03781B83" w14:textId="77777777" w:rsidTr="00EA35BD">
        <w:trPr>
          <w:trHeight w:val="330"/>
        </w:trPr>
        <w:tc>
          <w:tcPr>
            <w:tcW w:w="3068" w:type="dxa"/>
            <w:tcBorders>
              <w:top w:val="dashSmallGap" w:sz="4" w:space="0" w:color="auto"/>
              <w:bottom w:val="dashSmallGap" w:sz="4" w:space="0" w:color="auto"/>
              <w:right w:val="single" w:sz="2" w:space="0" w:color="000000"/>
            </w:tcBorders>
            <w:shd w:val="clear" w:color="auto" w:fill="E6E6E6"/>
          </w:tcPr>
          <w:p w14:paraId="1ADBB9EF" w14:textId="0FF594E5" w:rsidR="00574689" w:rsidRPr="00D826B8" w:rsidRDefault="00574689">
            <w:pPr>
              <w:spacing w:before="60"/>
              <w:outlineLvl w:val="0"/>
            </w:pPr>
            <w:r>
              <w:t>Durée du contrat</w:t>
            </w:r>
          </w:p>
        </w:tc>
        <w:tc>
          <w:tcPr>
            <w:tcW w:w="6169" w:type="dxa"/>
            <w:tcBorders>
              <w:top w:val="dashSmallGap" w:sz="4" w:space="0" w:color="auto"/>
              <w:left w:val="single" w:sz="2" w:space="0" w:color="000000"/>
              <w:bottom w:val="dashSmallGap" w:sz="4" w:space="0" w:color="auto"/>
            </w:tcBorders>
          </w:tcPr>
          <w:p w14:paraId="7A78B301" w14:textId="38E88ECC" w:rsidR="00574689" w:rsidRDefault="007F620C" w:rsidP="00D826B8">
            <w:pPr>
              <w:spacing w:before="60"/>
              <w:jc w:val="center"/>
              <w:outlineLvl w:val="0"/>
            </w:pPr>
            <w:r w:rsidRPr="00875240">
              <w:t xml:space="preserve">6 mois </w:t>
            </w:r>
          </w:p>
        </w:tc>
      </w:tr>
      <w:tr w:rsidR="00245B8E" w:rsidRPr="00D826B8" w14:paraId="21F32134" w14:textId="77777777" w:rsidTr="00EA35BD">
        <w:trPr>
          <w:trHeight w:val="330"/>
        </w:trPr>
        <w:tc>
          <w:tcPr>
            <w:tcW w:w="3068" w:type="dxa"/>
            <w:tcBorders>
              <w:top w:val="dashSmallGap" w:sz="4" w:space="0" w:color="auto"/>
              <w:bottom w:val="dashSmallGap" w:sz="4" w:space="0" w:color="auto"/>
              <w:right w:val="single" w:sz="2" w:space="0" w:color="000000"/>
            </w:tcBorders>
            <w:shd w:val="clear" w:color="auto" w:fill="E6E6E6"/>
          </w:tcPr>
          <w:p w14:paraId="0156199E" w14:textId="64CFE5B1" w:rsidR="00245B8E" w:rsidRPr="00D826B8" w:rsidRDefault="00574689">
            <w:pPr>
              <w:spacing w:before="60"/>
              <w:outlineLvl w:val="0"/>
            </w:pPr>
            <w:r>
              <w:t>Budget estimatif</w:t>
            </w:r>
          </w:p>
        </w:tc>
        <w:tc>
          <w:tcPr>
            <w:tcW w:w="6169" w:type="dxa"/>
            <w:tcBorders>
              <w:top w:val="dashSmallGap" w:sz="4" w:space="0" w:color="auto"/>
              <w:left w:val="single" w:sz="2" w:space="0" w:color="000000"/>
              <w:bottom w:val="dashSmallGap" w:sz="4" w:space="0" w:color="auto"/>
            </w:tcBorders>
          </w:tcPr>
          <w:p w14:paraId="5F217785" w14:textId="7B3161B2" w:rsidR="00245B8E" w:rsidRDefault="00574689" w:rsidP="00D826B8">
            <w:pPr>
              <w:spacing w:before="60"/>
              <w:jc w:val="center"/>
              <w:outlineLvl w:val="0"/>
            </w:pPr>
            <w:r>
              <w:t>62 000 USD</w:t>
            </w:r>
            <w:r w:rsidR="00245B8E">
              <w:t xml:space="preserve"> </w:t>
            </w:r>
          </w:p>
        </w:tc>
      </w:tr>
    </w:tbl>
    <w:p w14:paraId="21589409" w14:textId="77777777" w:rsidR="00497D93" w:rsidRPr="00D826B8" w:rsidRDefault="00497D93" w:rsidP="00497D93">
      <w:pPr>
        <w:spacing w:before="60"/>
        <w:jc w:val="both"/>
        <w:outlineLvl w:val="0"/>
      </w:pPr>
    </w:p>
    <w:p w14:paraId="746792FF" w14:textId="77777777" w:rsidR="00D826B8" w:rsidRPr="00D826B8" w:rsidRDefault="00D826B8" w:rsidP="00D826B8">
      <w:pPr>
        <w:pStyle w:val="TableParagraph"/>
        <w:numPr>
          <w:ilvl w:val="0"/>
          <w:numId w:val="21"/>
        </w:numPr>
        <w:spacing w:line="276" w:lineRule="auto"/>
        <w:ind w:right="92"/>
        <w:jc w:val="both"/>
        <w:rPr>
          <w:b/>
          <w:bCs/>
          <w:sz w:val="24"/>
          <w:szCs w:val="24"/>
        </w:rPr>
      </w:pPr>
      <w:r w:rsidRPr="00D826B8">
        <w:rPr>
          <w:b/>
          <w:bCs/>
          <w:sz w:val="24"/>
          <w:szCs w:val="24"/>
        </w:rPr>
        <w:t xml:space="preserve">Contexte du projet </w:t>
      </w:r>
    </w:p>
    <w:p w14:paraId="447F41F7" w14:textId="77777777" w:rsidR="00D826B8" w:rsidRPr="00D826B8" w:rsidRDefault="00D826B8" w:rsidP="00D826B8">
      <w:pPr>
        <w:pStyle w:val="NormalWeb"/>
        <w:spacing w:line="276" w:lineRule="auto"/>
        <w:jc w:val="both"/>
        <w:rPr>
          <w:lang w:val="fr-FR"/>
        </w:rPr>
      </w:pPr>
      <w:r w:rsidRPr="00D826B8">
        <w:rPr>
          <w:lang w:val="fr-FR"/>
        </w:rPr>
        <w:t xml:space="preserve">Le </w:t>
      </w:r>
      <w:r w:rsidRPr="00D826B8">
        <w:rPr>
          <w:rStyle w:val="Emphasis"/>
          <w:rFonts w:eastAsia="Arial"/>
          <w:lang w:val="fr-FR"/>
        </w:rPr>
        <w:t xml:space="preserve">State Building </w:t>
      </w:r>
      <w:proofErr w:type="spellStart"/>
      <w:r w:rsidRPr="00D826B8">
        <w:rPr>
          <w:rStyle w:val="Emphasis"/>
          <w:rFonts w:eastAsia="Arial"/>
          <w:lang w:val="fr-FR"/>
        </w:rPr>
        <w:t>Contract</w:t>
      </w:r>
      <w:proofErr w:type="spellEnd"/>
      <w:r w:rsidRPr="00D826B8">
        <w:rPr>
          <w:rStyle w:val="Emphasis"/>
          <w:rFonts w:eastAsia="Arial"/>
          <w:lang w:val="fr-FR"/>
        </w:rPr>
        <w:t xml:space="preserve"> II (SBC II)</w:t>
      </w:r>
      <w:r w:rsidRPr="00D826B8">
        <w:rPr>
          <w:lang w:val="fr-FR"/>
        </w:rPr>
        <w:t>, financé par l’Union européenne et mis en œuvre par Expertise France, vise à renforcer la résilience de l’État haïtien et à créer un environnement favorable à une croissance économique durable, inclusive et soutenue. Lancé en 2018, il s’inscrit dans un contexte marqué par une instabilité sociopolitique persistante et une insécurité généralisée, mais a su démontrer une capacité d’adaptation et produire des résultats tangibles, reconnus par les autorités haïtiennes et les partenaires techniques et financiers.</w:t>
      </w:r>
    </w:p>
    <w:p w14:paraId="611267FC" w14:textId="77777777" w:rsidR="00D826B8" w:rsidRPr="00D826B8" w:rsidRDefault="00D826B8" w:rsidP="00D826B8">
      <w:pPr>
        <w:pStyle w:val="NormalWeb"/>
        <w:spacing w:line="276" w:lineRule="auto"/>
        <w:jc w:val="both"/>
        <w:rPr>
          <w:lang w:val="fr-FR"/>
        </w:rPr>
      </w:pPr>
      <w:r w:rsidRPr="00D826B8">
        <w:rPr>
          <w:lang w:val="fr-FR"/>
        </w:rPr>
        <w:t>En juin 2024, au vu de ses résultats, une enveloppe a été accordée, élargissant le champ d’intervention du projet. Cette extension vise à consolider les acquis, intégrer de nouvelles activités et répondre aux besoins émergents identifiés par l’État haïtien. Elle traduit la confiance renouvelée de l’UE dans l’efficacité du dispositif et de sa volonté de renforcer son impact institutionnel et économique.</w:t>
      </w:r>
    </w:p>
    <w:p w14:paraId="1A2C24C9" w14:textId="77777777" w:rsidR="00D826B8" w:rsidRPr="00D826B8" w:rsidRDefault="00D826B8" w:rsidP="00D826B8">
      <w:pPr>
        <w:pStyle w:val="NormalWeb"/>
        <w:spacing w:line="276" w:lineRule="auto"/>
        <w:jc w:val="both"/>
        <w:rPr>
          <w:lang w:val="fr-FR"/>
        </w:rPr>
      </w:pPr>
      <w:r w:rsidRPr="00D826B8">
        <w:rPr>
          <w:lang w:val="fr-FR"/>
        </w:rPr>
        <w:t>Le projet met désormais un accent particulier sur la coordination entre les niveaux central et local de l’administration publique, avec un focus sur deux secteurs clés : le fiscal et le douanier. Ces domaines sont essentiels à la mobilisation des ressources internes et à la sécurisation des recettes publiques. À travers ses appuis techniques, le SBC II soutient la stratégie nationale de mobilisation des recettes, tout en accompagnant le renforcement des capacités institutionnelles pour une croissance inclusive et durable.</w:t>
      </w:r>
    </w:p>
    <w:p w14:paraId="2A8BFEA0" w14:textId="77777777" w:rsidR="00D826B8" w:rsidRPr="00D826B8" w:rsidRDefault="00D826B8" w:rsidP="00D826B8">
      <w:pPr>
        <w:pStyle w:val="NormalWeb"/>
        <w:spacing w:line="276" w:lineRule="auto"/>
        <w:jc w:val="both"/>
        <w:rPr>
          <w:lang w:val="fr-FR"/>
        </w:rPr>
      </w:pPr>
      <w:r w:rsidRPr="00D826B8">
        <w:rPr>
          <w:lang w:val="fr-FR"/>
        </w:rPr>
        <w:t xml:space="preserve">Au-delà du volet financier, le SBC II agit comme un catalyseur de modernisation de l’administration publique. Il promeut la transparence, les bonnes pratiques de gouvernance et </w:t>
      </w:r>
      <w:proofErr w:type="gramStart"/>
      <w:r w:rsidRPr="00D826B8">
        <w:rPr>
          <w:lang w:val="fr-FR"/>
        </w:rPr>
        <w:lastRenderedPageBreak/>
        <w:t>une</w:t>
      </w:r>
      <w:proofErr w:type="gramEnd"/>
      <w:r w:rsidRPr="00D826B8">
        <w:rPr>
          <w:lang w:val="fr-FR"/>
        </w:rPr>
        <w:t xml:space="preserve"> meilleure articulation entre les institutions. Ces avancées renforcent l’efficacité de l’action publique et contribuent à restaurer la confiance entre l’État et ses partenaires.</w:t>
      </w:r>
    </w:p>
    <w:p w14:paraId="57B3FE2A" w14:textId="77777777" w:rsidR="00D826B8" w:rsidRPr="00D826B8" w:rsidRDefault="00D826B8" w:rsidP="00D826B8">
      <w:pPr>
        <w:pStyle w:val="NormalWeb"/>
        <w:spacing w:line="276" w:lineRule="auto"/>
        <w:jc w:val="both"/>
        <w:rPr>
          <w:lang w:val="fr-FR"/>
        </w:rPr>
      </w:pPr>
      <w:r w:rsidRPr="00D826B8">
        <w:rPr>
          <w:lang w:val="fr-FR"/>
        </w:rPr>
        <w:t>En définitive, le SBC II constitue une étape clé dans la modernisation de l’État haïtien. En consolidant les institutions, en améliorant la mobilisation des ressources domestiques et en favorisant une gestion plus efficace des finances publiques, il contribue à la construction d’un contrat social renouvelé, fondé sur la responsabilité, la confiance et la recherche d’un avenir commun plus stable et prospère</w:t>
      </w:r>
    </w:p>
    <w:p w14:paraId="761CC15B" w14:textId="1C33DEEE" w:rsidR="00D826B8" w:rsidRPr="00D826B8" w:rsidRDefault="00D826B8" w:rsidP="00D826B8">
      <w:pPr>
        <w:pStyle w:val="ListParagraph"/>
        <w:numPr>
          <w:ilvl w:val="0"/>
          <w:numId w:val="21"/>
        </w:numPr>
        <w:spacing w:before="60"/>
        <w:jc w:val="both"/>
        <w:outlineLvl w:val="0"/>
        <w:rPr>
          <w:b/>
          <w:bCs/>
        </w:rPr>
      </w:pPr>
      <w:r w:rsidRPr="00D826B8">
        <w:rPr>
          <w:b/>
          <w:bCs/>
        </w:rPr>
        <w:t xml:space="preserve">Contexte et justification du besoin </w:t>
      </w:r>
    </w:p>
    <w:p w14:paraId="59D66C66" w14:textId="77777777" w:rsidR="00D826B8" w:rsidRPr="00D826B8" w:rsidRDefault="00D826B8" w:rsidP="00497D93">
      <w:pPr>
        <w:spacing w:before="60"/>
        <w:jc w:val="both"/>
        <w:outlineLvl w:val="0"/>
      </w:pPr>
    </w:p>
    <w:p w14:paraId="263DD0AF" w14:textId="5C30FC38" w:rsidR="0020421D" w:rsidRPr="00D826B8" w:rsidRDefault="0020421D" w:rsidP="00E1410B">
      <w:pPr>
        <w:pStyle w:val="NoSpacing"/>
        <w:jc w:val="both"/>
      </w:pPr>
      <w:r w:rsidRPr="00D826B8">
        <w:t>Service déconcentré du Ministère de l’Economie et des Finances (MEF), l’Ecole Nationale d’Administration financière (ENAF) a été créé</w:t>
      </w:r>
      <w:r w:rsidR="00C442C9" w:rsidRPr="00D826B8">
        <w:t>e</w:t>
      </w:r>
      <w:r w:rsidRPr="00D826B8">
        <w:t xml:space="preserve"> en 1978 en vue de répondre à un besoin urgent de formation des cadres œuvrant dans les branches de l’Administration Financière. </w:t>
      </w:r>
    </w:p>
    <w:p w14:paraId="2C7B927B" w14:textId="77777777" w:rsidR="0020421D" w:rsidRPr="00D826B8" w:rsidRDefault="0020421D" w:rsidP="00E1410B">
      <w:pPr>
        <w:pStyle w:val="NoSpacing"/>
        <w:jc w:val="both"/>
      </w:pPr>
      <w:r w:rsidRPr="00D826B8">
        <w:t xml:space="preserve"> </w:t>
      </w:r>
    </w:p>
    <w:p w14:paraId="3AFE431C" w14:textId="29064D62" w:rsidR="005100AD" w:rsidRPr="00D826B8" w:rsidRDefault="009D1B2C" w:rsidP="00E1410B">
      <w:pPr>
        <w:pStyle w:val="NoSpacing"/>
        <w:jc w:val="both"/>
      </w:pPr>
      <w:r w:rsidRPr="00D826B8">
        <w:t>L’ENAF</w:t>
      </w:r>
      <w:r w:rsidR="004A578C" w:rsidRPr="00D826B8">
        <w:t>, comme centre de formation et de perfectionnement des cadres du MEF</w:t>
      </w:r>
      <w:r w:rsidRPr="00D826B8">
        <w:t xml:space="preserve"> se définit</w:t>
      </w:r>
      <w:r w:rsidR="0020421D" w:rsidRPr="00D826B8">
        <w:t xml:space="preserve"> comme une grande école post universitaire moderne ayant la vocation de former des cadres moyens et supérieurs dans les domaines des Finances Publiques.</w:t>
      </w:r>
      <w:r w:rsidR="005100AD" w:rsidRPr="00D826B8">
        <w:t xml:space="preserve"> L’ENAF offre des compétences variées avec une attention sur les filières : </w:t>
      </w:r>
      <w:r w:rsidR="005100AD" w:rsidRPr="00D826B8">
        <w:rPr>
          <w:b/>
        </w:rPr>
        <w:t>Eco</w:t>
      </w:r>
      <w:r w:rsidR="004A578C" w:rsidRPr="00D826B8">
        <w:rPr>
          <w:b/>
        </w:rPr>
        <w:t>nomie, Douane, Trésor, Impôt</w:t>
      </w:r>
      <w:r w:rsidR="005100AD" w:rsidRPr="00D826B8">
        <w:t>. L’amélioration continue de ces filières constitue une réponse aux besoins de compétences dans les finances publiques.</w:t>
      </w:r>
    </w:p>
    <w:p w14:paraId="1BAF4869" w14:textId="50467B8A" w:rsidR="0020421D" w:rsidRPr="00D826B8" w:rsidRDefault="0020421D" w:rsidP="00E1410B">
      <w:pPr>
        <w:pStyle w:val="NoSpacing"/>
        <w:jc w:val="both"/>
      </w:pPr>
      <w:r w:rsidRPr="00D826B8">
        <w:t xml:space="preserve"> Cette option s’harmonise avec la préoccupation souhaitée par les instances nationales et internationales, soucieuse de la bonne gouvernance, qui devra s’instaurer progressivement dans les pratiques des politiques publiques haïtiennes.</w:t>
      </w:r>
    </w:p>
    <w:p w14:paraId="4F398F64" w14:textId="77777777" w:rsidR="004A578C" w:rsidRPr="00D826B8" w:rsidRDefault="004A578C" w:rsidP="009D1B2C">
      <w:pPr>
        <w:contextualSpacing/>
        <w:jc w:val="both"/>
        <w:rPr>
          <w:lang w:val="fr-CA"/>
        </w:rPr>
      </w:pPr>
    </w:p>
    <w:p w14:paraId="00FD120E" w14:textId="3C05FB30" w:rsidR="009D1B2C" w:rsidRPr="00D826B8" w:rsidRDefault="009D1B2C" w:rsidP="009D1B2C">
      <w:pPr>
        <w:contextualSpacing/>
        <w:jc w:val="both"/>
        <w:rPr>
          <w:i/>
          <w:iCs/>
          <w:lang w:val="fr-CA"/>
        </w:rPr>
      </w:pPr>
      <w:r w:rsidRPr="00D826B8">
        <w:rPr>
          <w:lang w:val="fr-CA"/>
        </w:rPr>
        <w:t>Les objectifs poursuivis par l’École viennent en réponse aux besoins exprimés par le Ministère de l’Économie des Finances </w:t>
      </w:r>
      <w:r w:rsidRPr="00D826B8">
        <w:rPr>
          <w:i/>
          <w:iCs/>
          <w:lang w:val="fr-CA"/>
        </w:rPr>
        <w:t xml:space="preserve">:  </w:t>
      </w:r>
    </w:p>
    <w:p w14:paraId="07AA5A63" w14:textId="48103308" w:rsidR="009D1B2C" w:rsidRPr="00D826B8" w:rsidRDefault="009D1B2C" w:rsidP="009D1B2C">
      <w:pPr>
        <w:pStyle w:val="ListParagraph"/>
        <w:numPr>
          <w:ilvl w:val="0"/>
          <w:numId w:val="18"/>
        </w:numPr>
        <w:spacing w:after="160"/>
        <w:jc w:val="both"/>
        <w:rPr>
          <w:i/>
          <w:iCs/>
        </w:rPr>
      </w:pPr>
      <w:r w:rsidRPr="00D826B8">
        <w:rPr>
          <w:i/>
          <w:iCs/>
        </w:rPr>
        <w:t xml:space="preserve">Former des cadres pour doter l’administration Financière de l’Etat de ressources humaines qualifiées </w:t>
      </w:r>
    </w:p>
    <w:p w14:paraId="2D5A3D64" w14:textId="77777777" w:rsidR="009D1B2C" w:rsidRPr="00D826B8" w:rsidRDefault="009D1B2C" w:rsidP="009D1B2C">
      <w:pPr>
        <w:pStyle w:val="ListParagraph"/>
        <w:numPr>
          <w:ilvl w:val="0"/>
          <w:numId w:val="18"/>
        </w:numPr>
        <w:spacing w:after="160"/>
        <w:jc w:val="both"/>
        <w:rPr>
          <w:i/>
          <w:iCs/>
        </w:rPr>
      </w:pPr>
      <w:r w:rsidRPr="00D826B8">
        <w:rPr>
          <w:i/>
          <w:iCs/>
        </w:rPr>
        <w:t xml:space="preserve">Faciliter le </w:t>
      </w:r>
      <w:proofErr w:type="gramStart"/>
      <w:r w:rsidRPr="00D826B8">
        <w:rPr>
          <w:i/>
          <w:iCs/>
        </w:rPr>
        <w:t>perfectionnement  des</w:t>
      </w:r>
      <w:proofErr w:type="gramEnd"/>
      <w:r w:rsidRPr="00D826B8">
        <w:rPr>
          <w:i/>
          <w:iCs/>
        </w:rPr>
        <w:t xml:space="preserve"> fonctionnaires </w:t>
      </w:r>
    </w:p>
    <w:p w14:paraId="79F1F7DC" w14:textId="77777777" w:rsidR="009D1B2C" w:rsidRPr="00D826B8" w:rsidRDefault="009D1B2C" w:rsidP="009D1B2C">
      <w:pPr>
        <w:pStyle w:val="ListParagraph"/>
        <w:numPr>
          <w:ilvl w:val="0"/>
          <w:numId w:val="18"/>
        </w:numPr>
        <w:spacing w:after="160"/>
        <w:jc w:val="both"/>
      </w:pPr>
      <w:r w:rsidRPr="00D826B8">
        <w:rPr>
          <w:i/>
          <w:iCs/>
        </w:rPr>
        <w:t>Valoriser la transmission des savoir et savoir-faire</w:t>
      </w:r>
      <w:r w:rsidRPr="00D826B8">
        <w:t xml:space="preserve">. </w:t>
      </w:r>
    </w:p>
    <w:p w14:paraId="52BEA2E7" w14:textId="1B547E57" w:rsidR="009D1B2C" w:rsidRPr="00D826B8" w:rsidRDefault="009D1B2C" w:rsidP="009D1B2C">
      <w:pPr>
        <w:jc w:val="both"/>
      </w:pPr>
      <w:proofErr w:type="gramStart"/>
      <w:r w:rsidRPr="00D826B8">
        <w:t>L’investissement  dans</w:t>
      </w:r>
      <w:proofErr w:type="gramEnd"/>
      <w:r w:rsidRPr="00D826B8">
        <w:t xml:space="preserve"> la formation des </w:t>
      </w:r>
      <w:proofErr w:type="gramStart"/>
      <w:r w:rsidRPr="00D826B8">
        <w:t>cadres  concourt</w:t>
      </w:r>
      <w:proofErr w:type="gramEnd"/>
      <w:r w:rsidRPr="00D826B8">
        <w:t xml:space="preserve">  </w:t>
      </w:r>
      <w:proofErr w:type="gramStart"/>
      <w:r w:rsidRPr="00D826B8">
        <w:t>au  renforcement</w:t>
      </w:r>
      <w:proofErr w:type="gramEnd"/>
      <w:r w:rsidRPr="00D826B8">
        <w:t xml:space="preserve"> des capacités institutionnelles destiné à </w:t>
      </w:r>
      <w:proofErr w:type="gramStart"/>
      <w:r w:rsidRPr="00D826B8">
        <w:t>moderniser  la</w:t>
      </w:r>
      <w:proofErr w:type="gramEnd"/>
      <w:r w:rsidRPr="00D826B8">
        <w:t xml:space="preserve"> qualité des services offerts aux usagers de l’Administration et à la population en générale.</w:t>
      </w:r>
    </w:p>
    <w:p w14:paraId="4C921E38" w14:textId="77777777" w:rsidR="009D1B2C" w:rsidRPr="00D826B8" w:rsidRDefault="009D1B2C" w:rsidP="009D1B2C">
      <w:pPr>
        <w:jc w:val="both"/>
      </w:pPr>
    </w:p>
    <w:p w14:paraId="7A88891D" w14:textId="54F78FA2" w:rsidR="009D1B2C" w:rsidRPr="00D826B8" w:rsidRDefault="009D1B2C" w:rsidP="009D1B2C">
      <w:pPr>
        <w:jc w:val="both"/>
      </w:pPr>
      <w:r w:rsidRPr="00D826B8">
        <w:t xml:space="preserve">L’offre de </w:t>
      </w:r>
      <w:proofErr w:type="gramStart"/>
      <w:r w:rsidRPr="00D826B8">
        <w:t>formation  s’appuie</w:t>
      </w:r>
      <w:proofErr w:type="gramEnd"/>
      <w:r w:rsidRPr="00D826B8">
        <w:t xml:space="preserve"> </w:t>
      </w:r>
      <w:proofErr w:type="gramStart"/>
      <w:r w:rsidRPr="00D826B8">
        <w:t>sur  la</w:t>
      </w:r>
      <w:proofErr w:type="gramEnd"/>
      <w:r w:rsidRPr="00D826B8">
        <w:t xml:space="preserve"> loi organique de l’École tout en prenant en compte les besoins actuels de l’Administration. On distingue trois programmes majeurs de formation :</w:t>
      </w:r>
    </w:p>
    <w:p w14:paraId="71D382AA" w14:textId="77777777" w:rsidR="004A578C" w:rsidRPr="00D826B8" w:rsidRDefault="004A578C" w:rsidP="009D1B2C">
      <w:pPr>
        <w:jc w:val="both"/>
      </w:pPr>
    </w:p>
    <w:p w14:paraId="63011053" w14:textId="2C25CE87" w:rsidR="009D1B2C" w:rsidRPr="00D826B8" w:rsidRDefault="009D1B2C" w:rsidP="009D1B2C">
      <w:pPr>
        <w:pStyle w:val="ListParagraph"/>
        <w:numPr>
          <w:ilvl w:val="0"/>
          <w:numId w:val="20"/>
        </w:numPr>
        <w:spacing w:after="160" w:line="259" w:lineRule="auto"/>
        <w:jc w:val="both"/>
      </w:pPr>
      <w:r w:rsidRPr="00D826B8">
        <w:rPr>
          <w:b/>
          <w:bCs/>
        </w:rPr>
        <w:t xml:space="preserve">Cycle </w:t>
      </w:r>
      <w:proofErr w:type="gramStart"/>
      <w:r w:rsidRPr="00D826B8">
        <w:rPr>
          <w:b/>
          <w:bCs/>
        </w:rPr>
        <w:t>Long</w:t>
      </w:r>
      <w:r w:rsidRPr="00D826B8">
        <w:t xml:space="preserve">  /</w:t>
      </w:r>
      <w:proofErr w:type="gramEnd"/>
      <w:r w:rsidRPr="00D826B8">
        <w:t xml:space="preserve"> </w:t>
      </w:r>
      <w:proofErr w:type="gramStart"/>
      <w:r w:rsidRPr="00D826B8">
        <w:rPr>
          <w:i/>
          <w:iCs/>
        </w:rPr>
        <w:t>Formation  post</w:t>
      </w:r>
      <w:proofErr w:type="gramEnd"/>
      <w:r w:rsidRPr="00D826B8">
        <w:rPr>
          <w:i/>
          <w:iCs/>
        </w:rPr>
        <w:t xml:space="preserve"> universitaire</w:t>
      </w:r>
      <w:r w:rsidRPr="00D826B8">
        <w:t xml:space="preserve"> de 18 à 24 mois.</w:t>
      </w:r>
    </w:p>
    <w:p w14:paraId="3ADC247B" w14:textId="119B1E49" w:rsidR="009D1B2C" w:rsidRPr="00D826B8" w:rsidRDefault="00EA35BD" w:rsidP="009D1B2C">
      <w:pPr>
        <w:pStyle w:val="ListParagraph"/>
        <w:ind w:left="0"/>
        <w:jc w:val="both"/>
        <w:rPr>
          <w:i/>
          <w:iCs/>
          <w:color w:val="000000"/>
          <w:lang w:val="fr-HT"/>
        </w:rPr>
      </w:pPr>
      <w:r w:rsidRPr="00D826B8">
        <w:rPr>
          <w:color w:val="000000"/>
        </w:rPr>
        <w:t xml:space="preserve">Un </w:t>
      </w:r>
      <w:r w:rsidRPr="00D826B8">
        <w:rPr>
          <w:color w:val="000000"/>
          <w:lang w:val="fr-HT"/>
        </w:rPr>
        <w:t>cycle</w:t>
      </w:r>
      <w:r w:rsidR="009D1B2C" w:rsidRPr="00D826B8">
        <w:rPr>
          <w:color w:val="000000"/>
          <w:lang w:val="fr-HT"/>
        </w:rPr>
        <w:t xml:space="preserve"> de deux ans de formation permet aux étudiants stagiaires d’acquérir le statut de Technicien pouvant intégrer l’une des branches de l’administration financière.  La première année, Tronc Commun,</w:t>
      </w:r>
      <w:r w:rsidR="009D1B2C" w:rsidRPr="00D826B8">
        <w:rPr>
          <w:rFonts w:eastAsia="Calibri"/>
          <w:color w:val="000000"/>
          <w:lang w:val="fr-HT"/>
        </w:rPr>
        <w:t xml:space="preserve"> est essentiellement constituée de cours de base en Economie, Droit, Sciences comptables, Administration, Gestion.</w:t>
      </w:r>
      <w:r w:rsidR="009D1B2C" w:rsidRPr="00D826B8">
        <w:rPr>
          <w:color w:val="000000"/>
          <w:lang w:val="fr-HT"/>
        </w:rPr>
        <w:t xml:space="preserve"> Des cours complémentaires sont intégrés au cursus : anglais, espagnol, informatique et méthodologie.</w:t>
      </w:r>
    </w:p>
    <w:p w14:paraId="2A7064D7" w14:textId="716E6470" w:rsidR="009D1B2C" w:rsidRPr="00D826B8" w:rsidRDefault="004A578C" w:rsidP="009D1B2C">
      <w:pPr>
        <w:pStyle w:val="ListParagraph"/>
        <w:ind w:left="0"/>
        <w:jc w:val="both"/>
        <w:rPr>
          <w:i/>
          <w:iCs/>
        </w:rPr>
      </w:pPr>
      <w:r w:rsidRPr="00D826B8">
        <w:rPr>
          <w:color w:val="000000"/>
          <w:lang w:val="fr-HT"/>
        </w:rPr>
        <w:t>La deuxième année ou année de</w:t>
      </w:r>
      <w:r w:rsidR="009D1B2C" w:rsidRPr="00D826B8">
        <w:rPr>
          <w:color w:val="000000"/>
          <w:lang w:val="fr-HT"/>
        </w:rPr>
        <w:t xml:space="preserve"> spécialisation oriente les stagiaires vers l’une des qu</w:t>
      </w:r>
      <w:r w:rsidRPr="00D826B8">
        <w:rPr>
          <w:color w:val="000000"/>
          <w:lang w:val="fr-HT"/>
        </w:rPr>
        <w:t xml:space="preserve">atre Filières </w:t>
      </w:r>
      <w:r w:rsidR="009D1B2C" w:rsidRPr="00D826B8">
        <w:rPr>
          <w:color w:val="000000"/>
          <w:lang w:val="fr-HT"/>
        </w:rPr>
        <w:t>: Douane, Impôt, Trésor (Finances Publiques) et Économie.</w:t>
      </w:r>
    </w:p>
    <w:p w14:paraId="34D963FF" w14:textId="77777777" w:rsidR="009D1B2C" w:rsidRPr="00D826B8" w:rsidRDefault="009D1B2C" w:rsidP="009D1B2C">
      <w:pPr>
        <w:pStyle w:val="ListParagraph"/>
        <w:ind w:left="0"/>
        <w:jc w:val="both"/>
        <w:rPr>
          <w:i/>
          <w:iCs/>
          <w:lang w:val="fr-HT"/>
        </w:rPr>
      </w:pPr>
    </w:p>
    <w:p w14:paraId="12DE09F4" w14:textId="42A0C9A9" w:rsidR="009D1B2C" w:rsidRPr="00D826B8" w:rsidRDefault="009D1B2C" w:rsidP="009D1B2C">
      <w:pPr>
        <w:pStyle w:val="ListParagraph"/>
        <w:numPr>
          <w:ilvl w:val="0"/>
          <w:numId w:val="20"/>
        </w:numPr>
        <w:spacing w:after="160" w:line="259" w:lineRule="auto"/>
        <w:jc w:val="both"/>
        <w:rPr>
          <w:i/>
          <w:iCs/>
        </w:rPr>
      </w:pPr>
      <w:r w:rsidRPr="00D826B8">
        <w:rPr>
          <w:b/>
          <w:bCs/>
        </w:rPr>
        <w:t xml:space="preserve">Cycle court d’une durée de huit (8) mois (formation continue) </w:t>
      </w:r>
    </w:p>
    <w:p w14:paraId="6B3080B9" w14:textId="25A9E343" w:rsidR="009D1B2C" w:rsidRPr="00D826B8" w:rsidRDefault="009D1B2C" w:rsidP="009D1B2C">
      <w:pPr>
        <w:jc w:val="both"/>
      </w:pPr>
      <w:r w:rsidRPr="00D826B8">
        <w:t xml:space="preserve">Dans le domaine de la formation continue, </w:t>
      </w:r>
      <w:r w:rsidR="004A578C" w:rsidRPr="00D826B8">
        <w:t>l’</w:t>
      </w:r>
      <w:r w:rsidRPr="00D826B8">
        <w:t>ENAF est de plus en plus sollicitée par les institutions publiques. Destiné aux agents e</w:t>
      </w:r>
      <w:r w:rsidR="004A578C" w:rsidRPr="00D826B8">
        <w:t>n service, le curriculum de ce c</w:t>
      </w:r>
      <w:r w:rsidRPr="00D826B8">
        <w:t xml:space="preserve">ycle a pour objectif de fournir une connaissance académique pouvant appuyer l’expérience acquise par les agents. Les matières de base, telles que la Comptabilité, le Droit, la Fiscalité, la Rédaction administrative, la Taxation, et les Techniques Douanières sont revisitées et les acquis sont évalués pour l’octroi d’un certificat. Les agents ainsi perfectionnés sont aptes à mieux réaliser les </w:t>
      </w:r>
      <w:proofErr w:type="gramStart"/>
      <w:r w:rsidRPr="00D826B8">
        <w:t>tâches  inhérentes</w:t>
      </w:r>
      <w:proofErr w:type="gramEnd"/>
      <w:r w:rsidRPr="00D826B8">
        <w:t xml:space="preserve"> à l’Administration financière.</w:t>
      </w:r>
    </w:p>
    <w:p w14:paraId="3EC7240E" w14:textId="25721BA3" w:rsidR="009D1B2C" w:rsidRPr="00D826B8" w:rsidRDefault="004A578C" w:rsidP="009D1B2C">
      <w:pPr>
        <w:pStyle w:val="ListParagraph"/>
        <w:numPr>
          <w:ilvl w:val="0"/>
          <w:numId w:val="20"/>
        </w:numPr>
        <w:spacing w:after="160"/>
        <w:jc w:val="both"/>
        <w:rPr>
          <w:b/>
          <w:bCs/>
        </w:rPr>
      </w:pPr>
      <w:r w:rsidRPr="00D826B8">
        <w:rPr>
          <w:b/>
          <w:bCs/>
        </w:rPr>
        <w:t>Formation continue via des séminaires et cycles de conférences</w:t>
      </w:r>
    </w:p>
    <w:p w14:paraId="78BF07D2" w14:textId="14DD27A4" w:rsidR="009D1B2C" w:rsidRPr="00D826B8" w:rsidRDefault="009D1B2C" w:rsidP="009D1B2C">
      <w:pPr>
        <w:jc w:val="both"/>
      </w:pPr>
      <w:r w:rsidRPr="00D826B8">
        <w:t>Sur demande de l’Administration ou à l’initiative d</w:t>
      </w:r>
      <w:r w:rsidR="004A578C" w:rsidRPr="00D826B8">
        <w:t>e l’ENAF, des séminaires</w:t>
      </w:r>
      <w:r w:rsidRPr="00D826B8">
        <w:t xml:space="preserve"> et conférences sont organisés périodiquement à l’intention des agents publics.</w:t>
      </w:r>
    </w:p>
    <w:p w14:paraId="4E47CE14" w14:textId="77777777" w:rsidR="0020421D" w:rsidRPr="00D826B8" w:rsidRDefault="0020421D" w:rsidP="00497D93">
      <w:pPr>
        <w:pStyle w:val="NoSpacing"/>
      </w:pPr>
    </w:p>
    <w:p w14:paraId="057377FD" w14:textId="69484849" w:rsidR="004128B2" w:rsidRPr="00D826B8" w:rsidRDefault="004128B2" w:rsidP="00497D93">
      <w:pPr>
        <w:pStyle w:val="NoSpacing"/>
        <w:rPr>
          <w:b/>
          <w:bCs/>
        </w:rPr>
      </w:pPr>
      <w:r w:rsidRPr="00D826B8">
        <w:rPr>
          <w:b/>
          <w:bCs/>
        </w:rPr>
        <w:t>Une nécessaire mise à jour</w:t>
      </w:r>
    </w:p>
    <w:p w14:paraId="655B9517" w14:textId="77777777" w:rsidR="004128B2" w:rsidRPr="00D826B8" w:rsidRDefault="004128B2" w:rsidP="004A578C">
      <w:pPr>
        <w:pStyle w:val="NoSpacing"/>
        <w:ind w:firstLine="720"/>
        <w:jc w:val="both"/>
      </w:pPr>
    </w:p>
    <w:p w14:paraId="1CA7A1FD" w14:textId="77777777" w:rsidR="00A87632" w:rsidRPr="00D826B8" w:rsidRDefault="00E36CD4" w:rsidP="00424452">
      <w:pPr>
        <w:pStyle w:val="NoSpacing"/>
        <w:jc w:val="both"/>
      </w:pPr>
      <w:r w:rsidRPr="00D826B8">
        <w:t xml:space="preserve">Dans la situation d’insécurité et de fuite de cerveaux haïtiens, pour s’adapter aux changements, s'inscrivant dans un </w:t>
      </w:r>
      <w:r w:rsidR="004128B2" w:rsidRPr="00D826B8">
        <w:t>paysage socio-économique</w:t>
      </w:r>
      <w:r w:rsidRPr="00D826B8">
        <w:t xml:space="preserve"> complexe, marqué par un important secteur informel, un chômage élevé et une forte instabilité politique</w:t>
      </w:r>
      <w:r w:rsidR="0020421D" w:rsidRPr="00D826B8">
        <w:t>, la mission de l’ENAF revêt une importance particulière. A ce titre, le lancement du proces</w:t>
      </w:r>
      <w:r w:rsidR="001467DC" w:rsidRPr="00D826B8">
        <w:t>sus de recrutement d’une firme afin d’évaluer l’offre de formation de son programme de longue durée</w:t>
      </w:r>
      <w:r w:rsidR="004128B2" w:rsidRPr="00D826B8">
        <w:t xml:space="preserve"> (cycle long), </w:t>
      </w:r>
      <w:r w:rsidR="001467DC" w:rsidRPr="00D826B8">
        <w:t xml:space="preserve"> de réviser les curricula</w:t>
      </w:r>
      <w:r w:rsidR="004128B2" w:rsidRPr="00D826B8">
        <w:t xml:space="preserve"> des </w:t>
      </w:r>
      <w:r w:rsidR="00A87632" w:rsidRPr="00D826B8">
        <w:t>filières</w:t>
      </w:r>
      <w:r w:rsidR="001467DC" w:rsidRPr="00D826B8">
        <w:t xml:space="preserve"> et </w:t>
      </w:r>
      <w:r w:rsidR="005100AD" w:rsidRPr="00D826B8">
        <w:t>dans un objectif d’amélioration continue</w:t>
      </w:r>
      <w:r w:rsidR="004A578C" w:rsidRPr="00D826B8">
        <w:t>, l</w:t>
      </w:r>
      <w:r w:rsidRPr="00D826B8">
        <w:t>’ENAF recherche un cabinet de conseil qualifié pour réaliser une évaluation complète</w:t>
      </w:r>
      <w:r w:rsidR="004128B2" w:rsidRPr="00D826B8">
        <w:t xml:space="preserve"> de son offre de formation en s’appuyant sur les</w:t>
      </w:r>
      <w:r w:rsidRPr="00D826B8">
        <w:t xml:space="preserve"> besoins</w:t>
      </w:r>
      <w:r w:rsidR="004128B2" w:rsidRPr="00D826B8">
        <w:t xml:space="preserve"> exprimés par</w:t>
      </w:r>
      <w:r w:rsidR="00A87632" w:rsidRPr="00D826B8">
        <w:t xml:space="preserve"> le Ministère de l’Economie et des Finances et  ses</w:t>
      </w:r>
      <w:r w:rsidR="004128B2" w:rsidRPr="00D826B8">
        <w:t xml:space="preserve"> </w:t>
      </w:r>
      <w:r w:rsidR="00A87632" w:rsidRPr="00D826B8">
        <w:t>services</w:t>
      </w:r>
      <w:r w:rsidR="004128B2" w:rsidRPr="00D826B8">
        <w:t xml:space="preserve"> </w:t>
      </w:r>
      <w:r w:rsidR="00A87632" w:rsidRPr="00D826B8">
        <w:t>déconcentrés</w:t>
      </w:r>
      <w:r w:rsidR="004128B2" w:rsidRPr="00D826B8">
        <w:t xml:space="preserve"> telles que la Direction </w:t>
      </w:r>
      <w:r w:rsidR="00A87632" w:rsidRPr="00D826B8">
        <w:t>G</w:t>
      </w:r>
      <w:r w:rsidR="004128B2" w:rsidRPr="00D826B8">
        <w:t>énérale des Impôts, l’Administration générale des Douanes, la Direction générale du Budget, l’inspection générale</w:t>
      </w:r>
      <w:r w:rsidR="00A87632" w:rsidRPr="00D826B8">
        <w:t xml:space="preserve"> des Finances</w:t>
      </w:r>
      <w:r w:rsidRPr="00D826B8">
        <w:t xml:space="preserve">. </w:t>
      </w:r>
    </w:p>
    <w:p w14:paraId="57F33BD7" w14:textId="77777777" w:rsidR="00424452" w:rsidRDefault="00424452" w:rsidP="00424452">
      <w:pPr>
        <w:pStyle w:val="NoSpacing"/>
        <w:jc w:val="both"/>
      </w:pPr>
    </w:p>
    <w:p w14:paraId="7E2129A3" w14:textId="557DD8CE" w:rsidR="00E36CD4" w:rsidRPr="00D826B8" w:rsidRDefault="00E36CD4" w:rsidP="00424452">
      <w:pPr>
        <w:pStyle w:val="NoSpacing"/>
        <w:jc w:val="both"/>
      </w:pPr>
      <w:r w:rsidRPr="00D826B8">
        <w:t xml:space="preserve">Ce recrutement vise à identifier un partenaire capable de fournir une analyse stratégique, une étude de marché et une consultation des parties prenantes afin de garantir la pertinence et la compétitivité de </w:t>
      </w:r>
      <w:r w:rsidR="005100AD" w:rsidRPr="00D826B8">
        <w:t>son</w:t>
      </w:r>
      <w:r w:rsidRPr="00D826B8">
        <w:t xml:space="preserve"> programme, ainsi que son a</w:t>
      </w:r>
      <w:r w:rsidR="00A87632" w:rsidRPr="00D826B8">
        <w:t>déquation aux besoins des institutions et concernées et aux réformes en cours</w:t>
      </w:r>
      <w:r w:rsidRPr="00D826B8">
        <w:t xml:space="preserve">. Le cabinet sélectionné </w:t>
      </w:r>
      <w:r w:rsidR="00EC0615" w:rsidRPr="00D826B8">
        <w:t>à travers ses recommandations et propositions concrètes pourrait être</w:t>
      </w:r>
      <w:r w:rsidR="00A87632" w:rsidRPr="00D826B8">
        <w:t xml:space="preserve"> amené </w:t>
      </w:r>
      <w:r w:rsidR="007A2D56" w:rsidRPr="00D826B8">
        <w:t>à</w:t>
      </w:r>
      <w:r w:rsidR="00A87632" w:rsidRPr="00D826B8">
        <w:t xml:space="preserve"> jouer un </w:t>
      </w:r>
      <w:r w:rsidR="00EC0615" w:rsidRPr="00D826B8">
        <w:t>certain rôle</w:t>
      </w:r>
      <w:r w:rsidRPr="00D826B8">
        <w:t xml:space="preserve"> dans l'orienta</w:t>
      </w:r>
      <w:r w:rsidR="007A2D56" w:rsidRPr="00D826B8">
        <w:t>tion future de ce programme, en</w:t>
      </w:r>
      <w:r w:rsidR="0020421D" w:rsidRPr="00D826B8">
        <w:t xml:space="preserve"> </w:t>
      </w:r>
      <w:r w:rsidRPr="00D826B8">
        <w:t>éclairant la concept</w:t>
      </w:r>
      <w:r w:rsidR="007A2D56" w:rsidRPr="00D826B8">
        <w:t>ion</w:t>
      </w:r>
      <w:r w:rsidRPr="00D826B8">
        <w:t xml:space="preserve"> et la stratégie globale. </w:t>
      </w:r>
      <w:r w:rsidR="00EB4C06" w:rsidRPr="00D826B8">
        <w:t>L’ENAF</w:t>
      </w:r>
      <w:r w:rsidRPr="00D826B8">
        <w:t xml:space="preserve"> invi</w:t>
      </w:r>
      <w:r w:rsidR="00EB4C06" w:rsidRPr="00D826B8">
        <w:t>te</w:t>
      </w:r>
      <w:r w:rsidRPr="00D826B8">
        <w:t xml:space="preserve"> les cabinets expérimentés et ayant fait leurs preuves en conseil et en développement de programmes dans l'enseignement supérieur à soumettre leurs propositions.</w:t>
      </w:r>
    </w:p>
    <w:p w14:paraId="7455B802" w14:textId="77777777" w:rsidR="00497D93" w:rsidRDefault="00497D93" w:rsidP="00497D93">
      <w:pPr>
        <w:pStyle w:val="NoSpacing"/>
      </w:pPr>
    </w:p>
    <w:p w14:paraId="48D41E9B" w14:textId="6DAEC3F1" w:rsidR="00D826B8" w:rsidRPr="00D826B8" w:rsidRDefault="00D826B8" w:rsidP="00D826B8">
      <w:pPr>
        <w:pStyle w:val="NoSpacing"/>
        <w:numPr>
          <w:ilvl w:val="0"/>
          <w:numId w:val="21"/>
        </w:numPr>
        <w:rPr>
          <w:b/>
          <w:bCs/>
        </w:rPr>
      </w:pPr>
      <w:r w:rsidRPr="00D826B8">
        <w:rPr>
          <w:b/>
          <w:bCs/>
        </w:rPr>
        <w:t xml:space="preserve">Objectifs et résultats poursuivis </w:t>
      </w:r>
    </w:p>
    <w:p w14:paraId="63119E28" w14:textId="77777777" w:rsidR="00D826B8" w:rsidRDefault="00D826B8" w:rsidP="00D826B8">
      <w:pPr>
        <w:jc w:val="both"/>
      </w:pPr>
    </w:p>
    <w:p w14:paraId="0C07686B" w14:textId="0D32707A" w:rsidR="00EB4C06" w:rsidRDefault="00422A45" w:rsidP="00D826B8">
      <w:pPr>
        <w:jc w:val="both"/>
      </w:pPr>
      <w:r w:rsidRPr="00D826B8">
        <w:t>De façon générale, l</w:t>
      </w:r>
      <w:r w:rsidR="00EB4C06" w:rsidRPr="00D826B8">
        <w:t xml:space="preserve">a consultation a pour </w:t>
      </w:r>
      <w:r w:rsidRPr="00D826B8">
        <w:t>but d’améliorer</w:t>
      </w:r>
      <w:r w:rsidR="007A2D56" w:rsidRPr="00D826B8">
        <w:t xml:space="preserve">, de </w:t>
      </w:r>
      <w:r w:rsidRPr="00D826B8">
        <w:t xml:space="preserve">standardiser </w:t>
      </w:r>
      <w:r w:rsidR="00EC0615" w:rsidRPr="00D826B8">
        <w:t>le</w:t>
      </w:r>
      <w:r w:rsidR="0009447A" w:rsidRPr="00D826B8">
        <w:t xml:space="preserve"> programme de cycle long en Finances publiques qui se </w:t>
      </w:r>
      <w:r w:rsidR="005100AD" w:rsidRPr="00D826B8">
        <w:t>décline</w:t>
      </w:r>
      <w:r w:rsidR="0009447A" w:rsidRPr="00D826B8">
        <w:t xml:space="preserve"> en 4 </w:t>
      </w:r>
      <w:r w:rsidR="005100AD" w:rsidRPr="00D826B8">
        <w:t>filières</w:t>
      </w:r>
      <w:r w:rsidRPr="00D826B8">
        <w:t>.</w:t>
      </w:r>
      <w:r w:rsidRPr="00D826B8">
        <w:rPr>
          <w:rFonts w:eastAsia="Arial Unicode MS"/>
          <w:b/>
          <w:lang w:eastAsia="en-US"/>
        </w:rPr>
        <w:t xml:space="preserve"> Ce processus vise à recruter une firme qui fournira des recommandations claires et fondées sur des données pour guider les décisions stratégiques </w:t>
      </w:r>
      <w:r w:rsidR="005100AD" w:rsidRPr="00D826B8">
        <w:rPr>
          <w:rFonts w:eastAsia="Arial Unicode MS"/>
          <w:b/>
          <w:lang w:eastAsia="en-US"/>
        </w:rPr>
        <w:t xml:space="preserve">d’amélioration </w:t>
      </w:r>
      <w:r w:rsidRPr="00D826B8">
        <w:rPr>
          <w:rFonts w:eastAsia="Arial Unicode MS"/>
          <w:b/>
          <w:lang w:eastAsia="en-US"/>
        </w:rPr>
        <w:t xml:space="preserve">du programme </w:t>
      </w:r>
      <w:r w:rsidR="005100AD" w:rsidRPr="00D826B8">
        <w:rPr>
          <w:rFonts w:eastAsia="Arial Unicode MS"/>
          <w:b/>
          <w:lang w:eastAsia="en-US"/>
        </w:rPr>
        <w:t>en vigueur</w:t>
      </w:r>
      <w:r w:rsidRPr="00D826B8">
        <w:rPr>
          <w:rFonts w:eastAsia="Arial Unicode MS"/>
          <w:b/>
          <w:lang w:eastAsia="en-US"/>
        </w:rPr>
        <w:t>.</w:t>
      </w:r>
      <w:r w:rsidRPr="00D826B8">
        <w:t xml:space="preserve"> La sélection privilégiera un Cabinet Conseil pouvant démontrer une compréhension approfondie du domaine spécifique de la formation technique et du contexte institutionnel de l’ENAF, plutôt qu’une approche générique et universelle.</w:t>
      </w:r>
    </w:p>
    <w:p w14:paraId="4FC41F6A" w14:textId="77777777" w:rsidR="00424452" w:rsidRPr="00D826B8" w:rsidRDefault="00424452" w:rsidP="00D826B8">
      <w:pPr>
        <w:jc w:val="both"/>
      </w:pPr>
    </w:p>
    <w:p w14:paraId="11E5594E" w14:textId="42F5E803" w:rsidR="00497D93" w:rsidRPr="00D826B8" w:rsidRDefault="00422A45" w:rsidP="007A2D56">
      <w:pPr>
        <w:jc w:val="both"/>
      </w:pPr>
      <w:r w:rsidRPr="00D826B8">
        <w:t>Les objectifs spécifiques visés par l’ENAF sont les suivants :</w:t>
      </w:r>
    </w:p>
    <w:p w14:paraId="5A88E93D" w14:textId="77777777" w:rsidR="00497D93" w:rsidRPr="00D826B8" w:rsidRDefault="00497D93" w:rsidP="00497D93">
      <w:pPr>
        <w:ind w:left="900"/>
        <w:jc w:val="both"/>
        <w:rPr>
          <w:rFonts w:eastAsia="Arial Unicode MS"/>
          <w:b/>
          <w:lang w:eastAsia="en-US"/>
        </w:rPr>
      </w:pPr>
    </w:p>
    <w:p w14:paraId="269FC254" w14:textId="212D1AF9" w:rsidR="00497D93" w:rsidRPr="00D826B8" w:rsidRDefault="00497D93" w:rsidP="00497D93">
      <w:pPr>
        <w:numPr>
          <w:ilvl w:val="1"/>
          <w:numId w:val="1"/>
        </w:numPr>
        <w:tabs>
          <w:tab w:val="clear" w:pos="1440"/>
        </w:tabs>
        <w:ind w:left="900"/>
        <w:jc w:val="both"/>
        <w:rPr>
          <w:rFonts w:eastAsia="Arial Unicode MS"/>
          <w:b/>
          <w:lang w:eastAsia="en-US"/>
        </w:rPr>
      </w:pPr>
      <w:r w:rsidRPr="00D826B8">
        <w:rPr>
          <w:rFonts w:eastAsia="Arial Unicode MS"/>
          <w:b/>
          <w:lang w:eastAsia="en-US"/>
        </w:rPr>
        <w:lastRenderedPageBreak/>
        <w:t>Résultats à atteindre</w:t>
      </w:r>
    </w:p>
    <w:p w14:paraId="59EEE4CF" w14:textId="2BBB1DDD" w:rsidR="00497D93" w:rsidRPr="00D826B8" w:rsidRDefault="00497D93" w:rsidP="00497D93">
      <w:pPr>
        <w:spacing w:before="100" w:beforeAutospacing="1" w:after="100" w:afterAutospacing="1"/>
        <w:jc w:val="both"/>
      </w:pPr>
      <w:r w:rsidRPr="00D826B8">
        <w:t xml:space="preserve">R1.1:    </w:t>
      </w:r>
      <w:r w:rsidR="00083733" w:rsidRPr="00D826B8">
        <w:t xml:space="preserve">Etat des lieux </w:t>
      </w:r>
    </w:p>
    <w:p w14:paraId="3CCCC04D" w14:textId="3BEC7FFC" w:rsidR="00497D93" w:rsidRPr="00D826B8" w:rsidRDefault="00497D93" w:rsidP="00497D93">
      <w:pPr>
        <w:spacing w:before="100" w:beforeAutospacing="1" w:after="100" w:afterAutospacing="1"/>
        <w:jc w:val="both"/>
      </w:pPr>
      <w:r w:rsidRPr="00D826B8">
        <w:t xml:space="preserve">R1.2:    </w:t>
      </w:r>
      <w:r w:rsidR="00083733" w:rsidRPr="00D826B8">
        <w:t xml:space="preserve">Etude de </w:t>
      </w:r>
      <w:r w:rsidR="00836963" w:rsidRPr="00D826B8">
        <w:t>faisabilité</w:t>
      </w:r>
    </w:p>
    <w:p w14:paraId="40797184" w14:textId="78E9342B" w:rsidR="00083733" w:rsidRDefault="00083733" w:rsidP="00497D93">
      <w:pPr>
        <w:spacing w:before="100" w:beforeAutospacing="1" w:after="100" w:afterAutospacing="1"/>
        <w:jc w:val="both"/>
      </w:pPr>
      <w:r w:rsidRPr="00D826B8">
        <w:t xml:space="preserve">R1.3 : </w:t>
      </w:r>
      <w:r w:rsidR="007E71A2" w:rsidRPr="00D826B8">
        <w:t>Proposition</w:t>
      </w:r>
      <w:r w:rsidR="00923B7D" w:rsidRPr="00D826B8">
        <w:t>s</w:t>
      </w:r>
      <w:r w:rsidR="007E71A2" w:rsidRPr="00D826B8">
        <w:t xml:space="preserve"> de m</w:t>
      </w:r>
      <w:r w:rsidRPr="00D826B8">
        <w:t>is</w:t>
      </w:r>
      <w:r w:rsidR="007A2D56" w:rsidRPr="00D826B8">
        <w:t>e</w:t>
      </w:r>
      <w:r w:rsidRPr="00D826B8">
        <w:t xml:space="preserve"> </w:t>
      </w:r>
      <w:r w:rsidR="007E71A2" w:rsidRPr="00D826B8">
        <w:t>à</w:t>
      </w:r>
      <w:r w:rsidRPr="00D826B8">
        <w:t xml:space="preserve"> jour</w:t>
      </w:r>
      <w:r w:rsidR="00923B7D" w:rsidRPr="00D826B8">
        <w:t xml:space="preserve"> du Tronc commun et</w:t>
      </w:r>
      <w:r w:rsidRPr="00D826B8">
        <w:t xml:space="preserve"> des curricula pour 4 </w:t>
      </w:r>
      <w:r w:rsidR="00836963" w:rsidRPr="00D826B8">
        <w:t>filières</w:t>
      </w:r>
      <w:r w:rsidRPr="00D826B8">
        <w:t xml:space="preserve"> : Economie, Douane, </w:t>
      </w:r>
      <w:r w:rsidR="005100AD" w:rsidRPr="00D826B8">
        <w:t>Trésor</w:t>
      </w:r>
      <w:r w:rsidRPr="00D826B8">
        <w:t>,</w:t>
      </w:r>
      <w:r w:rsidR="0009447A" w:rsidRPr="00D826B8">
        <w:t xml:space="preserve"> </w:t>
      </w:r>
      <w:r w:rsidR="00923B7D" w:rsidRPr="00D826B8">
        <w:t>Impôt.</w:t>
      </w:r>
    </w:p>
    <w:p w14:paraId="6707873C" w14:textId="00632630" w:rsidR="00D826B8" w:rsidRPr="00D826B8" w:rsidRDefault="00D826B8" w:rsidP="00D826B8">
      <w:pPr>
        <w:pStyle w:val="ListParagraph"/>
        <w:numPr>
          <w:ilvl w:val="0"/>
          <w:numId w:val="21"/>
        </w:numPr>
        <w:spacing w:before="100" w:beforeAutospacing="1" w:after="100" w:afterAutospacing="1"/>
        <w:jc w:val="both"/>
        <w:rPr>
          <w:b/>
          <w:bCs/>
        </w:rPr>
      </w:pPr>
      <w:r w:rsidRPr="00D826B8">
        <w:rPr>
          <w:b/>
          <w:bCs/>
        </w:rPr>
        <w:t xml:space="preserve">Description de la mission </w:t>
      </w:r>
    </w:p>
    <w:p w14:paraId="0EAD04FA" w14:textId="668DD9DF" w:rsidR="00497D93" w:rsidRPr="00D826B8" w:rsidRDefault="00422A45" w:rsidP="00497D93">
      <w:pPr>
        <w:jc w:val="both"/>
        <w:rPr>
          <w:rFonts w:eastAsia="Arial Unicode MS"/>
          <w:bCs/>
          <w:lang w:eastAsia="en-US"/>
        </w:rPr>
      </w:pPr>
      <w:r w:rsidRPr="00D826B8">
        <w:rPr>
          <w:rFonts w:eastAsia="Arial Unicode MS"/>
          <w:bCs/>
          <w:lang w:eastAsia="en-US"/>
        </w:rPr>
        <w:t>La f</w:t>
      </w:r>
      <w:r w:rsidR="001202F1" w:rsidRPr="00D826B8">
        <w:rPr>
          <w:rFonts w:eastAsia="Arial Unicode MS"/>
          <w:bCs/>
          <w:lang w:eastAsia="en-US"/>
        </w:rPr>
        <w:t>irme retenue aura pour activité de</w:t>
      </w:r>
      <w:r w:rsidRPr="00D826B8">
        <w:rPr>
          <w:rFonts w:eastAsia="Arial Unicode MS"/>
          <w:bCs/>
          <w:lang w:eastAsia="en-US"/>
        </w:rPr>
        <w:t> :</w:t>
      </w:r>
    </w:p>
    <w:p w14:paraId="2C95F891" w14:textId="77777777" w:rsidR="00497D93" w:rsidRPr="00D826B8" w:rsidRDefault="00497D93" w:rsidP="00497D93">
      <w:pPr>
        <w:jc w:val="both"/>
        <w:rPr>
          <w:rFonts w:eastAsia="Arial Unicode MS"/>
          <w:b/>
          <w:lang w:eastAsia="en-US"/>
        </w:rPr>
      </w:pPr>
    </w:p>
    <w:p w14:paraId="0FB53F6E" w14:textId="0DF14E39" w:rsidR="00A52060" w:rsidRPr="00D826B8" w:rsidRDefault="00A52060" w:rsidP="00A52060">
      <w:pPr>
        <w:pStyle w:val="ListParagraph"/>
        <w:numPr>
          <w:ilvl w:val="0"/>
          <w:numId w:val="11"/>
        </w:numPr>
        <w:spacing w:before="120"/>
      </w:pPr>
      <w:r w:rsidRPr="00D826B8">
        <w:t>Réaliser une revue documentaire pertinente sur les enjeux et pratiques liées à la formation dans le secteur de</w:t>
      </w:r>
      <w:r w:rsidR="0009447A" w:rsidRPr="00D826B8">
        <w:t>s</w:t>
      </w:r>
      <w:r w:rsidRPr="00D826B8">
        <w:t xml:space="preserve"> finance</w:t>
      </w:r>
      <w:r w:rsidR="0009447A" w:rsidRPr="00D826B8">
        <w:t>s</w:t>
      </w:r>
      <w:r w:rsidRPr="00D826B8">
        <w:t xml:space="preserve"> </w:t>
      </w:r>
      <w:r w:rsidR="00D826B8" w:rsidRPr="00D826B8">
        <w:t>publiques ;</w:t>
      </w:r>
      <w:r w:rsidRPr="00D826B8">
        <w:t xml:space="preserve"> </w:t>
      </w:r>
    </w:p>
    <w:p w14:paraId="374F1F7A" w14:textId="77777777" w:rsidR="00A52060" w:rsidRPr="00D826B8" w:rsidRDefault="00A52060" w:rsidP="00A52060">
      <w:pPr>
        <w:pStyle w:val="ListParagraph"/>
        <w:numPr>
          <w:ilvl w:val="0"/>
          <w:numId w:val="11"/>
        </w:numPr>
        <w:spacing w:before="120"/>
      </w:pPr>
      <w:r w:rsidRPr="00D826B8">
        <w:t>Produire une revue des pratiques d’enseignement en vigueur à l’ENAF ;</w:t>
      </w:r>
    </w:p>
    <w:p w14:paraId="71774DDB" w14:textId="3A91F268" w:rsidR="00A52060" w:rsidRPr="00D826B8" w:rsidRDefault="00A52060" w:rsidP="00A52060">
      <w:pPr>
        <w:pStyle w:val="ListParagraph"/>
        <w:numPr>
          <w:ilvl w:val="0"/>
          <w:numId w:val="11"/>
        </w:numPr>
        <w:spacing w:before="120"/>
      </w:pPr>
      <w:r w:rsidRPr="00D826B8">
        <w:t>Mener des consultations auprès des parties prenantes et de partenaires clés</w:t>
      </w:r>
      <w:r w:rsidR="006D754F" w:rsidRPr="00D826B8">
        <w:t xml:space="preserve"> (MEF, AGD, DGI, DGB, </w:t>
      </w:r>
      <w:r w:rsidR="001202F1" w:rsidRPr="00D826B8">
        <w:t xml:space="preserve">DGTCP, </w:t>
      </w:r>
      <w:r w:rsidR="00D826B8" w:rsidRPr="00D826B8">
        <w:t>IGF) sur</w:t>
      </w:r>
      <w:r w:rsidRPr="00D826B8">
        <w:t xml:space="preserve"> les cours offerts par l’ENAF comparés à leurs besoins de compétences ; </w:t>
      </w:r>
    </w:p>
    <w:p w14:paraId="08F2AFCA" w14:textId="77777777" w:rsidR="00A52060" w:rsidRPr="00D826B8" w:rsidRDefault="00A52060" w:rsidP="00A52060">
      <w:pPr>
        <w:pStyle w:val="ListParagraph"/>
        <w:numPr>
          <w:ilvl w:val="0"/>
          <w:numId w:val="11"/>
        </w:numPr>
        <w:spacing w:before="120"/>
      </w:pPr>
      <w:r w:rsidRPr="00D826B8">
        <w:t>Établir un diagnostic de la situation supportée par des données ;</w:t>
      </w:r>
    </w:p>
    <w:p w14:paraId="614E9B24" w14:textId="3FCF3B6E" w:rsidR="00A52060" w:rsidRPr="00D826B8" w:rsidRDefault="00A52060" w:rsidP="00A52060">
      <w:pPr>
        <w:pStyle w:val="ListParagraph"/>
        <w:numPr>
          <w:ilvl w:val="0"/>
          <w:numId w:val="11"/>
        </w:numPr>
        <w:spacing w:before="120"/>
      </w:pPr>
      <w:r w:rsidRPr="00D826B8">
        <w:t>Sur la base des conclusions tirées, élaborer des propositions stratégiques de standardis</w:t>
      </w:r>
      <w:r w:rsidR="006D754F" w:rsidRPr="00D826B8">
        <w:t>ation de l’offre de formation pour le cycle long</w:t>
      </w:r>
      <w:r w:rsidRPr="00D826B8">
        <w:t>.</w:t>
      </w:r>
    </w:p>
    <w:p w14:paraId="526DB1DA" w14:textId="1E36A4D5" w:rsidR="0009447A" w:rsidRDefault="0009447A" w:rsidP="00A52060">
      <w:pPr>
        <w:pStyle w:val="ListParagraph"/>
        <w:numPr>
          <w:ilvl w:val="0"/>
          <w:numId w:val="11"/>
        </w:numPr>
        <w:spacing w:before="120"/>
      </w:pPr>
      <w:r w:rsidRPr="00D826B8">
        <w:t xml:space="preserve">Proposer un curriculum </w:t>
      </w:r>
      <w:r w:rsidR="005100AD" w:rsidRPr="00D826B8">
        <w:t>rénové</w:t>
      </w:r>
      <w:r w:rsidRPr="00D826B8">
        <w:t xml:space="preserve"> pour chacune des </w:t>
      </w:r>
      <w:r w:rsidR="005100AD" w:rsidRPr="00D826B8">
        <w:t>filières</w:t>
      </w:r>
      <w:r w:rsidR="001202F1" w:rsidRPr="00D826B8">
        <w:t xml:space="preserve"> (Tronc commun et spécialisation)</w:t>
      </w:r>
      <w:r w:rsidR="00D826B8">
        <w:t>.</w:t>
      </w:r>
    </w:p>
    <w:p w14:paraId="08C5CB39" w14:textId="77777777" w:rsidR="00D826B8" w:rsidRPr="00D826B8" w:rsidRDefault="00D826B8" w:rsidP="00D826B8">
      <w:pPr>
        <w:pStyle w:val="ListParagraph"/>
        <w:spacing w:before="120"/>
        <w:ind w:left="360"/>
      </w:pPr>
    </w:p>
    <w:p w14:paraId="3F022A4E" w14:textId="238AC866" w:rsidR="00A52060" w:rsidRPr="00D826B8" w:rsidRDefault="00D826B8" w:rsidP="00D826B8">
      <w:pPr>
        <w:pStyle w:val="ListParagraph"/>
        <w:numPr>
          <w:ilvl w:val="0"/>
          <w:numId w:val="21"/>
        </w:numPr>
        <w:spacing w:before="120" w:after="120"/>
        <w:rPr>
          <w:b/>
          <w:bCs/>
        </w:rPr>
      </w:pPr>
      <w:r w:rsidRPr="00D826B8">
        <w:rPr>
          <w:b/>
          <w:bCs/>
        </w:rPr>
        <w:t xml:space="preserve">Produits de la consultation </w:t>
      </w:r>
    </w:p>
    <w:p w14:paraId="511DC043" w14:textId="77777777" w:rsidR="00A52060" w:rsidRPr="00D826B8" w:rsidRDefault="00A52060" w:rsidP="00A52060">
      <w:pPr>
        <w:spacing w:before="120"/>
      </w:pPr>
      <w:r w:rsidRPr="00D826B8">
        <w:t xml:space="preserve">D’ici la fin de son mandat, le cabinet conseil aura soumis : </w:t>
      </w:r>
    </w:p>
    <w:p w14:paraId="7D65A094" w14:textId="77777777" w:rsidR="00A52060" w:rsidRPr="00D826B8" w:rsidRDefault="00A52060" w:rsidP="00A52060">
      <w:pPr>
        <w:pStyle w:val="ListParagraph"/>
        <w:numPr>
          <w:ilvl w:val="0"/>
          <w:numId w:val="12"/>
        </w:numPr>
        <w:spacing w:before="120"/>
      </w:pPr>
      <w:r w:rsidRPr="00D826B8">
        <w:t xml:space="preserve">Un plan de travail, décrivant la méthodologie détaillée, les activités à mener dans le cadre du mandat et les échéances à respecter ; </w:t>
      </w:r>
    </w:p>
    <w:p w14:paraId="3ECE5097" w14:textId="0D78A189" w:rsidR="00A52060" w:rsidRPr="00D826B8" w:rsidRDefault="00A52060" w:rsidP="00A52060">
      <w:pPr>
        <w:pStyle w:val="ListParagraph"/>
        <w:numPr>
          <w:ilvl w:val="0"/>
          <w:numId w:val="12"/>
        </w:numPr>
        <w:spacing w:before="120"/>
      </w:pPr>
      <w:r w:rsidRPr="00D826B8">
        <w:t>Un rapport intermédiaire, comportant une description</w:t>
      </w:r>
      <w:r w:rsidR="006D754F" w:rsidRPr="00D826B8">
        <w:t xml:space="preserve"> des activités réalisées et le d</w:t>
      </w:r>
      <w:r w:rsidRPr="00D826B8">
        <w:t xml:space="preserve">iagnostic de situation ; </w:t>
      </w:r>
    </w:p>
    <w:p w14:paraId="0BF69064" w14:textId="32A360BB" w:rsidR="00A52060" w:rsidRPr="00D826B8" w:rsidRDefault="00A52060" w:rsidP="00A52060">
      <w:pPr>
        <w:pStyle w:val="ListParagraph"/>
        <w:numPr>
          <w:ilvl w:val="0"/>
          <w:numId w:val="12"/>
        </w:numPr>
        <w:spacing w:before="120"/>
      </w:pPr>
      <w:r w:rsidRPr="00D826B8">
        <w:t>La proposit</w:t>
      </w:r>
      <w:r w:rsidR="001202F1" w:rsidRPr="00D826B8">
        <w:t>ion de s</w:t>
      </w:r>
      <w:r w:rsidRPr="00D826B8">
        <w:t xml:space="preserve">tratégie de standardisation ; </w:t>
      </w:r>
    </w:p>
    <w:p w14:paraId="5498F64B" w14:textId="77777777" w:rsidR="00497D93" w:rsidRPr="00D826B8" w:rsidRDefault="00497D93" w:rsidP="00497D93">
      <w:pPr>
        <w:pStyle w:val="ListParagraph"/>
      </w:pPr>
    </w:p>
    <w:p w14:paraId="49974E08" w14:textId="500EFEF3" w:rsidR="00497D93" w:rsidRPr="00424452" w:rsidRDefault="00497D93" w:rsidP="00424452">
      <w:pPr>
        <w:pStyle w:val="ListParagraph"/>
        <w:numPr>
          <w:ilvl w:val="0"/>
          <w:numId w:val="21"/>
        </w:numPr>
        <w:jc w:val="both"/>
        <w:rPr>
          <w:rFonts w:eastAsia="Arial Unicode MS"/>
          <w:b/>
          <w:lang w:eastAsia="en-US"/>
        </w:rPr>
      </w:pPr>
      <w:r w:rsidRPr="00424452">
        <w:rPr>
          <w:rFonts w:eastAsia="Arial Unicode MS"/>
          <w:b/>
          <w:lang w:eastAsia="en-US"/>
        </w:rPr>
        <w:t>Livrables attendus</w:t>
      </w:r>
    </w:p>
    <w:p w14:paraId="3420430B" w14:textId="77777777" w:rsidR="00497D93" w:rsidRPr="00D826B8" w:rsidRDefault="00497D93" w:rsidP="00497D93">
      <w:pPr>
        <w:jc w:val="both"/>
        <w:rPr>
          <w:rFonts w:eastAsia="Arial Unicode MS"/>
          <w:b/>
          <w:lang w:eastAsia="en-US"/>
        </w:rPr>
      </w:pPr>
    </w:p>
    <w:tbl>
      <w:tblPr>
        <w:tblStyle w:val="TableGrid"/>
        <w:tblW w:w="0" w:type="auto"/>
        <w:tblInd w:w="360" w:type="dxa"/>
        <w:tblLook w:val="04A0" w:firstRow="1" w:lastRow="0" w:firstColumn="1" w:lastColumn="0" w:noHBand="0" w:noVBand="1"/>
      </w:tblPr>
      <w:tblGrid>
        <w:gridCol w:w="5164"/>
        <w:gridCol w:w="3538"/>
      </w:tblGrid>
      <w:tr w:rsidR="00497D93" w:rsidRPr="00D826B8" w14:paraId="1A9CEE83" w14:textId="77777777" w:rsidTr="00875240">
        <w:tc>
          <w:tcPr>
            <w:tcW w:w="5164" w:type="dxa"/>
          </w:tcPr>
          <w:p w14:paraId="54B8BD0F" w14:textId="77777777" w:rsidR="00497D93" w:rsidRPr="00D826B8" w:rsidRDefault="00497D93">
            <w:pPr>
              <w:jc w:val="center"/>
              <w:rPr>
                <w:b/>
                <w:bCs/>
                <w:sz w:val="24"/>
                <w:szCs w:val="24"/>
              </w:rPr>
            </w:pPr>
            <w:r w:rsidRPr="00D826B8">
              <w:rPr>
                <w:b/>
                <w:bCs/>
                <w:sz w:val="24"/>
                <w:szCs w:val="24"/>
              </w:rPr>
              <w:t>Livrables</w:t>
            </w:r>
          </w:p>
        </w:tc>
        <w:tc>
          <w:tcPr>
            <w:tcW w:w="3538" w:type="dxa"/>
          </w:tcPr>
          <w:p w14:paraId="4E39CDE7" w14:textId="77777777" w:rsidR="00497D93" w:rsidRPr="00D826B8" w:rsidRDefault="00497D93">
            <w:pPr>
              <w:jc w:val="center"/>
              <w:rPr>
                <w:b/>
                <w:bCs/>
                <w:sz w:val="24"/>
                <w:szCs w:val="24"/>
              </w:rPr>
            </w:pPr>
            <w:r w:rsidRPr="008F4017">
              <w:rPr>
                <w:b/>
                <w:bCs/>
              </w:rPr>
              <w:t>Date de livraison</w:t>
            </w:r>
          </w:p>
        </w:tc>
      </w:tr>
      <w:tr w:rsidR="00497D93" w:rsidRPr="00D826B8" w14:paraId="1C4A194F" w14:textId="77777777" w:rsidTr="00875240">
        <w:tc>
          <w:tcPr>
            <w:tcW w:w="5164" w:type="dxa"/>
          </w:tcPr>
          <w:p w14:paraId="1176D808" w14:textId="2AF16F5A" w:rsidR="00497D93" w:rsidRPr="00D826B8" w:rsidRDefault="003A5693" w:rsidP="00497D93">
            <w:pPr>
              <w:pStyle w:val="ListParagraph"/>
              <w:numPr>
                <w:ilvl w:val="0"/>
                <w:numId w:val="2"/>
              </w:numPr>
              <w:jc w:val="both"/>
              <w:rPr>
                <w:sz w:val="24"/>
                <w:szCs w:val="24"/>
              </w:rPr>
            </w:pPr>
            <w:r w:rsidRPr="00D826B8">
              <w:rPr>
                <w:sz w:val="24"/>
                <w:szCs w:val="24"/>
              </w:rPr>
              <w:t>Un Plan de travail</w:t>
            </w:r>
          </w:p>
        </w:tc>
        <w:tc>
          <w:tcPr>
            <w:tcW w:w="3538" w:type="dxa"/>
          </w:tcPr>
          <w:p w14:paraId="174A667A" w14:textId="64047AAF" w:rsidR="00497D93" w:rsidRPr="00D826B8" w:rsidRDefault="007F620C">
            <w:pPr>
              <w:jc w:val="both"/>
              <w:rPr>
                <w:sz w:val="24"/>
                <w:szCs w:val="24"/>
              </w:rPr>
            </w:pPr>
            <w:r>
              <w:rPr>
                <w:sz w:val="24"/>
                <w:szCs w:val="24"/>
              </w:rPr>
              <w:t>10 jours après la date de notification du contrat</w:t>
            </w:r>
          </w:p>
        </w:tc>
      </w:tr>
      <w:tr w:rsidR="00497D93" w:rsidRPr="00D826B8" w14:paraId="091FA690" w14:textId="77777777" w:rsidTr="00875240">
        <w:tc>
          <w:tcPr>
            <w:tcW w:w="5164" w:type="dxa"/>
          </w:tcPr>
          <w:p w14:paraId="61B9AE02" w14:textId="4997FA9A" w:rsidR="00497D93" w:rsidRPr="00D826B8" w:rsidRDefault="003A5693" w:rsidP="00497D93">
            <w:pPr>
              <w:pStyle w:val="ListParagraph"/>
              <w:numPr>
                <w:ilvl w:val="0"/>
                <w:numId w:val="2"/>
              </w:numPr>
              <w:jc w:val="both"/>
              <w:rPr>
                <w:sz w:val="24"/>
                <w:szCs w:val="24"/>
              </w:rPr>
            </w:pPr>
            <w:r w:rsidRPr="00D826B8">
              <w:rPr>
                <w:sz w:val="24"/>
                <w:szCs w:val="24"/>
              </w:rPr>
              <w:t>Un rapport d’état des lieux</w:t>
            </w:r>
          </w:p>
        </w:tc>
        <w:tc>
          <w:tcPr>
            <w:tcW w:w="3538" w:type="dxa"/>
          </w:tcPr>
          <w:p w14:paraId="2B55796A" w14:textId="4AA36A74" w:rsidR="00497D93" w:rsidRPr="00D826B8" w:rsidRDefault="007F620C">
            <w:pPr>
              <w:jc w:val="both"/>
              <w:rPr>
                <w:sz w:val="24"/>
                <w:szCs w:val="24"/>
              </w:rPr>
            </w:pPr>
            <w:r>
              <w:rPr>
                <w:sz w:val="24"/>
                <w:szCs w:val="24"/>
              </w:rPr>
              <w:t>1 mois après la date de notification du contrat</w:t>
            </w:r>
          </w:p>
        </w:tc>
      </w:tr>
      <w:tr w:rsidR="00497D93" w:rsidRPr="00D826B8" w14:paraId="43C71D24" w14:textId="77777777" w:rsidTr="00875240">
        <w:tc>
          <w:tcPr>
            <w:tcW w:w="5164" w:type="dxa"/>
          </w:tcPr>
          <w:p w14:paraId="1E4587A1" w14:textId="0CDDB8B8" w:rsidR="00497D93" w:rsidRPr="00D826B8" w:rsidRDefault="003A5693" w:rsidP="00497D93">
            <w:pPr>
              <w:pStyle w:val="ListParagraph"/>
              <w:numPr>
                <w:ilvl w:val="0"/>
                <w:numId w:val="2"/>
              </w:numPr>
              <w:jc w:val="both"/>
              <w:rPr>
                <w:sz w:val="24"/>
                <w:szCs w:val="24"/>
              </w:rPr>
            </w:pPr>
            <w:r w:rsidRPr="00D826B8">
              <w:rPr>
                <w:sz w:val="24"/>
                <w:szCs w:val="24"/>
              </w:rPr>
              <w:t>Les résultats de l’étude de faisabilité</w:t>
            </w:r>
          </w:p>
        </w:tc>
        <w:tc>
          <w:tcPr>
            <w:tcW w:w="3538" w:type="dxa"/>
          </w:tcPr>
          <w:p w14:paraId="6C70F07F" w14:textId="3B765F32" w:rsidR="00497D93" w:rsidRPr="00D826B8" w:rsidRDefault="007F620C">
            <w:pPr>
              <w:jc w:val="both"/>
              <w:rPr>
                <w:sz w:val="24"/>
                <w:szCs w:val="24"/>
              </w:rPr>
            </w:pPr>
            <w:r>
              <w:rPr>
                <w:sz w:val="24"/>
                <w:szCs w:val="24"/>
              </w:rPr>
              <w:t>2 mois après la notification du contrat.</w:t>
            </w:r>
          </w:p>
        </w:tc>
      </w:tr>
      <w:tr w:rsidR="00497D93" w:rsidRPr="00D826B8" w14:paraId="239493B2" w14:textId="77777777" w:rsidTr="00875240">
        <w:tc>
          <w:tcPr>
            <w:tcW w:w="5164" w:type="dxa"/>
          </w:tcPr>
          <w:p w14:paraId="48B5C239" w14:textId="58916DDB" w:rsidR="00497D93" w:rsidRPr="00D826B8" w:rsidRDefault="003A5693" w:rsidP="00497D93">
            <w:pPr>
              <w:pStyle w:val="ListParagraph"/>
              <w:numPr>
                <w:ilvl w:val="0"/>
                <w:numId w:val="2"/>
              </w:numPr>
              <w:jc w:val="both"/>
              <w:rPr>
                <w:sz w:val="24"/>
                <w:szCs w:val="24"/>
              </w:rPr>
            </w:pPr>
            <w:r w:rsidRPr="00D826B8">
              <w:rPr>
                <w:sz w:val="24"/>
                <w:szCs w:val="24"/>
              </w:rPr>
              <w:t xml:space="preserve">Rapport </w:t>
            </w:r>
            <w:r w:rsidR="006D754F" w:rsidRPr="00D826B8">
              <w:rPr>
                <w:sz w:val="24"/>
                <w:szCs w:val="24"/>
              </w:rPr>
              <w:t>intermédiaire</w:t>
            </w:r>
            <w:r w:rsidRPr="00D826B8">
              <w:rPr>
                <w:sz w:val="24"/>
                <w:szCs w:val="24"/>
              </w:rPr>
              <w:t xml:space="preserve"> </w:t>
            </w:r>
            <w:r w:rsidR="006D754F" w:rsidRPr="00D826B8">
              <w:rPr>
                <w:sz w:val="24"/>
                <w:szCs w:val="24"/>
              </w:rPr>
              <w:t>présentant</w:t>
            </w:r>
            <w:r w:rsidRPr="00D826B8">
              <w:rPr>
                <w:sz w:val="24"/>
                <w:szCs w:val="24"/>
              </w:rPr>
              <w:t xml:space="preserve"> les propositions de mis à jour par </w:t>
            </w:r>
            <w:r w:rsidR="006D754F" w:rsidRPr="00D826B8">
              <w:rPr>
                <w:sz w:val="24"/>
                <w:szCs w:val="24"/>
              </w:rPr>
              <w:t>filière</w:t>
            </w:r>
          </w:p>
        </w:tc>
        <w:tc>
          <w:tcPr>
            <w:tcW w:w="3538" w:type="dxa"/>
          </w:tcPr>
          <w:p w14:paraId="7FE8DDDE" w14:textId="7927628E" w:rsidR="00497D93" w:rsidRPr="00D826B8" w:rsidRDefault="007F620C">
            <w:pPr>
              <w:jc w:val="both"/>
              <w:rPr>
                <w:sz w:val="24"/>
                <w:szCs w:val="24"/>
              </w:rPr>
            </w:pPr>
            <w:r>
              <w:rPr>
                <w:sz w:val="24"/>
                <w:szCs w:val="24"/>
              </w:rPr>
              <w:t>3 mois après la notification du contrat.</w:t>
            </w:r>
          </w:p>
        </w:tc>
      </w:tr>
      <w:tr w:rsidR="00497D93" w:rsidRPr="00D826B8" w14:paraId="291B2A91" w14:textId="77777777" w:rsidTr="00875240">
        <w:tc>
          <w:tcPr>
            <w:tcW w:w="5164" w:type="dxa"/>
          </w:tcPr>
          <w:p w14:paraId="15F2EBDC" w14:textId="6EDD55D2" w:rsidR="00497D93" w:rsidRPr="00D826B8" w:rsidRDefault="006D754F" w:rsidP="00497D93">
            <w:pPr>
              <w:pStyle w:val="ListParagraph"/>
              <w:numPr>
                <w:ilvl w:val="0"/>
                <w:numId w:val="2"/>
              </w:numPr>
              <w:jc w:val="both"/>
              <w:rPr>
                <w:sz w:val="24"/>
                <w:szCs w:val="24"/>
              </w:rPr>
            </w:pPr>
            <w:r w:rsidRPr="00D826B8">
              <w:rPr>
                <w:sz w:val="24"/>
                <w:szCs w:val="24"/>
              </w:rPr>
              <w:t>Présentation</w:t>
            </w:r>
            <w:r w:rsidR="006F0601" w:rsidRPr="00D826B8">
              <w:rPr>
                <w:sz w:val="24"/>
                <w:szCs w:val="24"/>
              </w:rPr>
              <w:t xml:space="preserve"> des rapports consolidés</w:t>
            </w:r>
          </w:p>
        </w:tc>
        <w:tc>
          <w:tcPr>
            <w:tcW w:w="3538" w:type="dxa"/>
          </w:tcPr>
          <w:p w14:paraId="234F0262" w14:textId="16F5DEF8" w:rsidR="00497D93" w:rsidRPr="00D826B8" w:rsidRDefault="007F620C">
            <w:pPr>
              <w:jc w:val="both"/>
              <w:rPr>
                <w:sz w:val="24"/>
                <w:szCs w:val="24"/>
              </w:rPr>
            </w:pPr>
            <w:r>
              <w:rPr>
                <w:sz w:val="24"/>
                <w:szCs w:val="24"/>
              </w:rPr>
              <w:t>4 mois après la notification du contrat.</w:t>
            </w:r>
          </w:p>
        </w:tc>
      </w:tr>
      <w:tr w:rsidR="00497D93" w:rsidRPr="00D826B8" w14:paraId="0B90D17E" w14:textId="77777777" w:rsidTr="00875240">
        <w:tc>
          <w:tcPr>
            <w:tcW w:w="5164" w:type="dxa"/>
          </w:tcPr>
          <w:p w14:paraId="123CC2A9" w14:textId="4A8B821F" w:rsidR="00497D93" w:rsidRPr="00D826B8" w:rsidRDefault="00FB407E" w:rsidP="00497D93">
            <w:pPr>
              <w:pStyle w:val="ListParagraph"/>
              <w:numPr>
                <w:ilvl w:val="0"/>
                <w:numId w:val="2"/>
              </w:numPr>
              <w:jc w:val="both"/>
              <w:rPr>
                <w:sz w:val="24"/>
                <w:szCs w:val="24"/>
              </w:rPr>
            </w:pPr>
            <w:r w:rsidRPr="00D826B8">
              <w:rPr>
                <w:sz w:val="24"/>
                <w:szCs w:val="24"/>
              </w:rPr>
              <w:lastRenderedPageBreak/>
              <w:t xml:space="preserve">Proposition de curriculum révisé pour les 4 filières </w:t>
            </w:r>
          </w:p>
        </w:tc>
        <w:tc>
          <w:tcPr>
            <w:tcW w:w="3538" w:type="dxa"/>
          </w:tcPr>
          <w:p w14:paraId="400499E6" w14:textId="1B7D2598" w:rsidR="00497D93" w:rsidRPr="00D826B8" w:rsidRDefault="007F620C">
            <w:pPr>
              <w:jc w:val="both"/>
              <w:rPr>
                <w:sz w:val="24"/>
                <w:szCs w:val="24"/>
              </w:rPr>
            </w:pPr>
            <w:r>
              <w:rPr>
                <w:sz w:val="24"/>
                <w:szCs w:val="24"/>
              </w:rPr>
              <w:t>5 mois après la notification du contrat.</w:t>
            </w:r>
          </w:p>
        </w:tc>
      </w:tr>
      <w:tr w:rsidR="00497D93" w:rsidRPr="00D826B8" w14:paraId="4D143B00" w14:textId="77777777" w:rsidTr="00875240">
        <w:tc>
          <w:tcPr>
            <w:tcW w:w="5164" w:type="dxa"/>
          </w:tcPr>
          <w:p w14:paraId="4DC18672" w14:textId="61C1A508" w:rsidR="00497D93" w:rsidRPr="00D826B8" w:rsidRDefault="006F0601" w:rsidP="00497D93">
            <w:pPr>
              <w:pStyle w:val="ListParagraph"/>
              <w:numPr>
                <w:ilvl w:val="0"/>
                <w:numId w:val="2"/>
              </w:numPr>
              <w:jc w:val="both"/>
              <w:rPr>
                <w:sz w:val="24"/>
                <w:szCs w:val="24"/>
              </w:rPr>
            </w:pPr>
            <w:r w:rsidRPr="00D826B8">
              <w:rPr>
                <w:sz w:val="24"/>
                <w:szCs w:val="24"/>
              </w:rPr>
              <w:t>Rapport final</w:t>
            </w:r>
          </w:p>
        </w:tc>
        <w:tc>
          <w:tcPr>
            <w:tcW w:w="3538" w:type="dxa"/>
          </w:tcPr>
          <w:p w14:paraId="144F9BAF" w14:textId="1CE17EE6" w:rsidR="00497D93" w:rsidRPr="00D826B8" w:rsidRDefault="007F620C">
            <w:pPr>
              <w:jc w:val="both"/>
              <w:rPr>
                <w:sz w:val="24"/>
                <w:szCs w:val="24"/>
              </w:rPr>
            </w:pPr>
            <w:r>
              <w:rPr>
                <w:sz w:val="24"/>
                <w:szCs w:val="24"/>
              </w:rPr>
              <w:t>6 mois après la notification du contrat.</w:t>
            </w:r>
          </w:p>
        </w:tc>
      </w:tr>
    </w:tbl>
    <w:p w14:paraId="6BC5A88C" w14:textId="77777777" w:rsidR="00497D93" w:rsidRDefault="00497D93" w:rsidP="00497D93">
      <w:pPr>
        <w:jc w:val="both"/>
        <w:rPr>
          <w:rFonts w:eastAsia="Arial Unicode MS"/>
          <w:b/>
          <w:lang w:eastAsia="en-US"/>
        </w:rPr>
      </w:pPr>
    </w:p>
    <w:p w14:paraId="1F802414" w14:textId="77777777" w:rsidR="00574689" w:rsidRPr="00D826B8" w:rsidRDefault="00574689" w:rsidP="00497D93">
      <w:pPr>
        <w:jc w:val="both"/>
        <w:rPr>
          <w:rFonts w:eastAsia="Arial Unicode MS"/>
          <w:b/>
          <w:lang w:eastAsia="en-US"/>
        </w:rPr>
      </w:pPr>
    </w:p>
    <w:p w14:paraId="48A22347" w14:textId="77777777" w:rsidR="00497D93" w:rsidRPr="00D826B8" w:rsidRDefault="00497D93" w:rsidP="00497D93">
      <w:pPr>
        <w:jc w:val="both"/>
      </w:pPr>
    </w:p>
    <w:p w14:paraId="0F30372F" w14:textId="536FE3D8" w:rsidR="00497D93" w:rsidRPr="00D826B8" w:rsidRDefault="00497D93" w:rsidP="00497D93">
      <w:pPr>
        <w:jc w:val="both"/>
        <w:rPr>
          <w:rFonts w:eastAsia="Arial Unicode MS"/>
          <w:b/>
          <w:i/>
          <w:iCs/>
          <w:u w:val="single"/>
          <w:lang w:eastAsia="en-US"/>
        </w:rPr>
      </w:pPr>
      <w:r w:rsidRPr="00D826B8">
        <w:rPr>
          <w:rFonts w:eastAsia="Arial Unicode MS"/>
          <w:b/>
          <w:i/>
          <w:iCs/>
          <w:u w:val="single"/>
          <w:lang w:eastAsia="en-US"/>
        </w:rPr>
        <w:t xml:space="preserve"> Coordination </w:t>
      </w:r>
    </w:p>
    <w:p w14:paraId="45C4DC9A" w14:textId="7CA67D72" w:rsidR="00201E5B" w:rsidRDefault="00201E5B" w:rsidP="00497D93">
      <w:pPr>
        <w:jc w:val="both"/>
        <w:rPr>
          <w:rFonts w:eastAsia="Arial Unicode MS"/>
          <w:bCs/>
          <w:lang w:eastAsia="en-US"/>
        </w:rPr>
      </w:pPr>
      <w:r w:rsidRPr="00D826B8">
        <w:rPr>
          <w:rFonts w:eastAsia="Arial Unicode MS"/>
          <w:bCs/>
          <w:lang w:eastAsia="en-US"/>
        </w:rPr>
        <w:t xml:space="preserve">Le suivi de cette mission sera </w:t>
      </w:r>
      <w:r w:rsidR="004D77FA" w:rsidRPr="00D826B8">
        <w:rPr>
          <w:rFonts w:eastAsia="Arial Unicode MS"/>
          <w:bCs/>
          <w:lang w:eastAsia="en-US"/>
        </w:rPr>
        <w:t>effectué par la direction générale de l’ENAF.</w:t>
      </w:r>
    </w:p>
    <w:p w14:paraId="6D59F834" w14:textId="77777777" w:rsidR="008F4017" w:rsidRPr="00D826B8" w:rsidRDefault="008F4017" w:rsidP="00497D93">
      <w:pPr>
        <w:jc w:val="both"/>
        <w:rPr>
          <w:rFonts w:eastAsia="Arial Unicode MS"/>
          <w:bCs/>
          <w:lang w:eastAsia="en-US"/>
        </w:rPr>
      </w:pPr>
    </w:p>
    <w:p w14:paraId="47C1C683" w14:textId="12A36D19" w:rsidR="00497D93" w:rsidRPr="00424452" w:rsidRDefault="00424452" w:rsidP="00424452">
      <w:pPr>
        <w:pStyle w:val="ListParagraph"/>
        <w:numPr>
          <w:ilvl w:val="0"/>
          <w:numId w:val="21"/>
        </w:numPr>
        <w:jc w:val="both"/>
        <w:rPr>
          <w:b/>
          <w:bCs/>
        </w:rPr>
      </w:pPr>
      <w:r w:rsidRPr="00424452">
        <w:rPr>
          <w:b/>
          <w:bCs/>
        </w:rPr>
        <w:t xml:space="preserve">Méthodologie </w:t>
      </w:r>
    </w:p>
    <w:p w14:paraId="27707369" w14:textId="77777777" w:rsidR="00497D93" w:rsidRPr="00D826B8" w:rsidRDefault="00497D93" w:rsidP="00497D93">
      <w:pPr>
        <w:jc w:val="both"/>
      </w:pPr>
    </w:p>
    <w:p w14:paraId="5FF929BD" w14:textId="3C1C446E" w:rsidR="00204243" w:rsidRPr="00D826B8" w:rsidRDefault="00C442C9" w:rsidP="00836963">
      <w:pPr>
        <w:jc w:val="both"/>
      </w:pPr>
      <w:r w:rsidRPr="00D826B8">
        <w:t xml:space="preserve">Le cabinet </w:t>
      </w:r>
      <w:r w:rsidR="00836963" w:rsidRPr="00D826B8">
        <w:t>conseil sélectionné devra utiliser une approche mixte, combinant des techniques de recherche qualitatives et quantitatives, afin de développer une compréhension globale des besoins</w:t>
      </w:r>
      <w:r w:rsidR="00176A9C" w:rsidRPr="00D826B8">
        <w:t xml:space="preserve"> du programme de cycle long</w:t>
      </w:r>
      <w:r w:rsidR="00836963" w:rsidRPr="00D826B8">
        <w:t>. Il devra présenter ses méthodes spécifiques</w:t>
      </w:r>
      <w:r w:rsidRPr="00D826B8">
        <w:t>, notamment des plans détaillés</w:t>
      </w:r>
      <w:r w:rsidR="00204243" w:rsidRPr="00D826B8">
        <w:t>.</w:t>
      </w:r>
    </w:p>
    <w:p w14:paraId="543781B1" w14:textId="77777777" w:rsidR="00D54D8F" w:rsidRPr="00D826B8" w:rsidRDefault="00D54D8F" w:rsidP="00497D93">
      <w:pPr>
        <w:jc w:val="both"/>
      </w:pPr>
    </w:p>
    <w:p w14:paraId="52A327C6" w14:textId="336DC9DB" w:rsidR="00497D93" w:rsidRPr="00424452" w:rsidRDefault="00424452" w:rsidP="00424452">
      <w:pPr>
        <w:pStyle w:val="ListParagraph"/>
        <w:numPr>
          <w:ilvl w:val="0"/>
          <w:numId w:val="21"/>
        </w:numPr>
        <w:rPr>
          <w:b/>
        </w:rPr>
      </w:pPr>
      <w:r w:rsidRPr="00424452">
        <w:rPr>
          <w:b/>
        </w:rPr>
        <w:t xml:space="preserve">Expertise et profil recherché </w:t>
      </w:r>
    </w:p>
    <w:p w14:paraId="3306C52C" w14:textId="77777777" w:rsidR="00424452" w:rsidRDefault="00424452" w:rsidP="00C75C4C">
      <w:pPr>
        <w:spacing w:before="120"/>
      </w:pPr>
    </w:p>
    <w:p w14:paraId="630F9626" w14:textId="307DE12D" w:rsidR="00C75C4C" w:rsidRPr="008F4017" w:rsidRDefault="00C75C4C" w:rsidP="00C75C4C">
      <w:pPr>
        <w:spacing w:before="120"/>
      </w:pPr>
      <w:r w:rsidRPr="008F4017">
        <w:t xml:space="preserve">Le cabinet conseil doit prouver avoir au moins </w:t>
      </w:r>
      <w:proofErr w:type="gramStart"/>
      <w:r w:rsidR="007F620C" w:rsidRPr="00875240">
        <w:t xml:space="preserve">deux </w:t>
      </w:r>
      <w:r w:rsidRPr="008F4017">
        <w:t xml:space="preserve"> consultant</w:t>
      </w:r>
      <w:r w:rsidR="007F620C" w:rsidRPr="00875240">
        <w:t>s</w:t>
      </w:r>
      <w:proofErr w:type="gramEnd"/>
      <w:r w:rsidRPr="008F4017">
        <w:t xml:space="preserve"> correspondant aux critères suivants : </w:t>
      </w:r>
    </w:p>
    <w:p w14:paraId="68001FAC" w14:textId="3E7F89B2" w:rsidR="00C75C4C" w:rsidRPr="008F4017" w:rsidRDefault="00C75C4C" w:rsidP="00C75C4C">
      <w:pPr>
        <w:pStyle w:val="ListParagraph"/>
        <w:numPr>
          <w:ilvl w:val="0"/>
          <w:numId w:val="13"/>
        </w:numPr>
        <w:spacing w:before="120"/>
      </w:pPr>
      <w:r w:rsidRPr="008F4017">
        <w:t xml:space="preserve">Détenir un niveau </w:t>
      </w:r>
      <w:r w:rsidRPr="00875240">
        <w:t xml:space="preserve">doctorant/master </w:t>
      </w:r>
      <w:r w:rsidRPr="008F4017">
        <w:t>en Enseignement, Finance</w:t>
      </w:r>
      <w:r w:rsidR="00176A9C" w:rsidRPr="008F4017">
        <w:t>s</w:t>
      </w:r>
      <w:r w:rsidRPr="008F4017">
        <w:t xml:space="preserve"> publique</w:t>
      </w:r>
      <w:r w:rsidR="00176A9C" w:rsidRPr="008F4017">
        <w:t>s</w:t>
      </w:r>
      <w:r w:rsidRPr="008F4017">
        <w:t xml:space="preserve">, Economie, fiscalité et études de douanes Communication ou Relations Publiques (niveau Licence, Maîtrise un atout) ; </w:t>
      </w:r>
    </w:p>
    <w:p w14:paraId="67CBEA97" w14:textId="48765C39" w:rsidR="00C75C4C" w:rsidRPr="00D826B8" w:rsidRDefault="00C75C4C" w:rsidP="00C75C4C">
      <w:pPr>
        <w:pStyle w:val="ListParagraph"/>
        <w:numPr>
          <w:ilvl w:val="0"/>
          <w:numId w:val="13"/>
        </w:numPr>
        <w:spacing w:before="120"/>
      </w:pPr>
      <w:r w:rsidRPr="00D826B8">
        <w:t>Avoir au moins 15 années d’expérience en finance</w:t>
      </w:r>
      <w:r w:rsidR="00176A9C" w:rsidRPr="00D826B8">
        <w:t>s</w:t>
      </w:r>
      <w:r w:rsidRPr="00D826B8">
        <w:t xml:space="preserve"> publique</w:t>
      </w:r>
      <w:r w:rsidR="00176A9C" w:rsidRPr="00D826B8">
        <w:t>s</w:t>
      </w:r>
      <w:r w:rsidRPr="00D826B8">
        <w:t xml:space="preserve">, enseignement et élaboration de curricula ; </w:t>
      </w:r>
    </w:p>
    <w:p w14:paraId="14F38C48" w14:textId="5A04FA9E" w:rsidR="00C75C4C" w:rsidRPr="00D826B8" w:rsidRDefault="00C75C4C" w:rsidP="00C75C4C">
      <w:pPr>
        <w:pStyle w:val="ListParagraph"/>
        <w:numPr>
          <w:ilvl w:val="0"/>
          <w:numId w:val="13"/>
        </w:numPr>
        <w:spacing w:before="120"/>
      </w:pPr>
      <w:r w:rsidRPr="00D826B8">
        <w:t>Avoir une bonne connaissance des exigences de fo</w:t>
      </w:r>
      <w:r w:rsidR="003E0034" w:rsidRPr="00D826B8">
        <w:t xml:space="preserve">rmation des programmes de </w:t>
      </w:r>
      <w:r w:rsidR="00424452" w:rsidRPr="00D826B8">
        <w:t>deuxièmes et troisièmes cycles</w:t>
      </w:r>
      <w:r w:rsidRPr="00D826B8">
        <w:t xml:space="preserve"> ; </w:t>
      </w:r>
    </w:p>
    <w:p w14:paraId="0F1A729E" w14:textId="5C627729" w:rsidR="00497D93" w:rsidRPr="00D826B8" w:rsidRDefault="00C75C4C" w:rsidP="00FF711E">
      <w:pPr>
        <w:pStyle w:val="ListParagraph"/>
        <w:numPr>
          <w:ilvl w:val="0"/>
          <w:numId w:val="13"/>
        </w:numPr>
        <w:spacing w:before="120"/>
      </w:pPr>
      <w:r w:rsidRPr="00D826B8">
        <w:t>Avoir une bonne connaissance du secteur de</w:t>
      </w:r>
      <w:r w:rsidR="003E0034" w:rsidRPr="00D826B8">
        <w:t>s</w:t>
      </w:r>
      <w:r w:rsidRPr="00D826B8">
        <w:t xml:space="preserve"> finance</w:t>
      </w:r>
      <w:r w:rsidR="003E0034" w:rsidRPr="00D826B8">
        <w:t>s</w:t>
      </w:r>
      <w:r w:rsidRPr="00D826B8">
        <w:t xml:space="preserve"> publique</w:t>
      </w:r>
      <w:r w:rsidR="003E0034" w:rsidRPr="00D826B8">
        <w:t>s</w:t>
      </w:r>
      <w:r w:rsidRPr="00D826B8">
        <w:t xml:space="preserve"> en général. </w:t>
      </w:r>
    </w:p>
    <w:p w14:paraId="46660DBC" w14:textId="77777777" w:rsidR="00424452" w:rsidRDefault="00424452" w:rsidP="00424452">
      <w:pPr>
        <w:spacing w:after="120"/>
        <w:jc w:val="both"/>
        <w:rPr>
          <w:b/>
          <w:bCs/>
        </w:rPr>
      </w:pPr>
    </w:p>
    <w:p w14:paraId="51F452B7" w14:textId="7E5072A0" w:rsidR="00424452" w:rsidRPr="00424452" w:rsidRDefault="00424452" w:rsidP="00424452">
      <w:pPr>
        <w:pStyle w:val="ListParagraph"/>
        <w:numPr>
          <w:ilvl w:val="0"/>
          <w:numId w:val="21"/>
        </w:numPr>
        <w:spacing w:after="120"/>
        <w:jc w:val="both"/>
        <w:rPr>
          <w:b/>
          <w:bCs/>
        </w:rPr>
      </w:pPr>
      <w:r>
        <w:rPr>
          <w:b/>
          <w:bCs/>
        </w:rPr>
        <w:t>Dossier d’offre de service</w:t>
      </w:r>
    </w:p>
    <w:p w14:paraId="39EFD9C7" w14:textId="77777777" w:rsidR="003F17DD" w:rsidRDefault="008B7DD5" w:rsidP="00201E5B">
      <w:pPr>
        <w:spacing w:before="120"/>
      </w:pPr>
      <w:r w:rsidRPr="00D826B8">
        <w:t xml:space="preserve">Le </w:t>
      </w:r>
      <w:r w:rsidR="00201E5B" w:rsidRPr="00D826B8">
        <w:t>Cabinet Conseil soumettra</w:t>
      </w:r>
      <w:r w:rsidR="003F17DD">
        <w:t> :</w:t>
      </w:r>
    </w:p>
    <w:p w14:paraId="6420E04A" w14:textId="68344A65" w:rsidR="00201E5B" w:rsidRPr="00D826B8" w:rsidRDefault="00FE76CE" w:rsidP="00875240">
      <w:pPr>
        <w:pStyle w:val="ListParagraph"/>
        <w:numPr>
          <w:ilvl w:val="0"/>
          <w:numId w:val="14"/>
        </w:numPr>
        <w:spacing w:before="120"/>
      </w:pPr>
      <w:r>
        <w:rPr>
          <w:rFonts w:ascii="Calibri" w:hAnsi="Calibri" w:cs="Calibri"/>
          <w:color w:val="000000"/>
        </w:rPr>
        <w:t>Un d</w:t>
      </w:r>
      <w:r w:rsidR="003F17DD" w:rsidRPr="00875240">
        <w:rPr>
          <w:rFonts w:ascii="Calibri" w:hAnsi="Calibri" w:cs="Calibri"/>
          <w:color w:val="000000"/>
        </w:rPr>
        <w:t>ossier de candidature en</w:t>
      </w:r>
      <w:r w:rsidR="008F4017">
        <w:rPr>
          <w:rFonts w:ascii="Calibri" w:hAnsi="Calibri" w:cs="Calibri"/>
          <w:color w:val="000000"/>
        </w:rPr>
        <w:t xml:space="preserve"> </w:t>
      </w:r>
      <w:proofErr w:type="gramStart"/>
      <w:r w:rsidR="008F4017">
        <w:rPr>
          <w:rFonts w:ascii="Calibri" w:hAnsi="Calibri" w:cs="Calibri"/>
          <w:color w:val="000000"/>
        </w:rPr>
        <w:t xml:space="preserve">un </w:t>
      </w:r>
      <w:r w:rsidR="003F17DD" w:rsidRPr="00875240">
        <w:rPr>
          <w:rFonts w:ascii="Calibri" w:hAnsi="Calibri" w:cs="Calibri"/>
          <w:color w:val="000000"/>
        </w:rPr>
        <w:t xml:space="preserve"> </w:t>
      </w:r>
      <w:r w:rsidR="003F17DD" w:rsidRPr="00875240">
        <w:rPr>
          <w:rFonts w:ascii="Calibri" w:hAnsi="Calibri" w:cs="Calibri"/>
          <w:b/>
          <w:bCs/>
          <w:color w:val="000000"/>
        </w:rPr>
        <w:t>SEUL</w:t>
      </w:r>
      <w:proofErr w:type="gramEnd"/>
      <w:r w:rsidR="003F17DD" w:rsidRPr="00875240">
        <w:rPr>
          <w:rFonts w:ascii="Calibri" w:hAnsi="Calibri" w:cs="Calibri"/>
          <w:b/>
          <w:bCs/>
          <w:color w:val="000000"/>
        </w:rPr>
        <w:t xml:space="preserve"> DOCUMENT </w:t>
      </w:r>
      <w:r w:rsidR="003F17DD" w:rsidRPr="00875240">
        <w:rPr>
          <w:rFonts w:ascii="Calibri" w:hAnsi="Calibri" w:cs="Calibri"/>
          <w:color w:val="000000"/>
        </w:rPr>
        <w:t>ne dépassant pas 40 pages</w:t>
      </w:r>
      <w:r>
        <w:rPr>
          <w:rFonts w:ascii="Calibri" w:hAnsi="Calibri" w:cs="Calibri"/>
          <w:color w:val="000000"/>
        </w:rPr>
        <w:t> ;</w:t>
      </w:r>
      <w:r w:rsidR="00201E5B" w:rsidRPr="00D826B8">
        <w:t xml:space="preserve"> </w:t>
      </w:r>
    </w:p>
    <w:p w14:paraId="5C496720" w14:textId="58EFEAA1" w:rsidR="00201E5B" w:rsidRPr="00D826B8" w:rsidRDefault="00201E5B" w:rsidP="00201E5B">
      <w:pPr>
        <w:pStyle w:val="ListParagraph"/>
        <w:numPr>
          <w:ilvl w:val="0"/>
          <w:numId w:val="14"/>
        </w:numPr>
        <w:spacing w:before="120"/>
      </w:pPr>
      <w:r w:rsidRPr="00D826B8">
        <w:t xml:space="preserve">Une proposition technique, présentant sa compréhension du mandat, la méthodologie proposée et un calendrier préliminaire pour la réalisation de sa prestation ; </w:t>
      </w:r>
    </w:p>
    <w:p w14:paraId="07061437" w14:textId="3916F6BC" w:rsidR="00201E5B" w:rsidRPr="00D826B8" w:rsidRDefault="00201E5B" w:rsidP="00201E5B">
      <w:pPr>
        <w:pStyle w:val="ListParagraph"/>
        <w:numPr>
          <w:ilvl w:val="0"/>
          <w:numId w:val="14"/>
        </w:numPr>
        <w:spacing w:before="120"/>
      </w:pPr>
      <w:r w:rsidRPr="00D826B8">
        <w:t>Une proposition financière, détaillant les coûts liés à l’exécution de sa prestation (honoraires, déplacement, fournitures et consommables de bureau, …)</w:t>
      </w:r>
      <w:r w:rsidR="00FE76CE">
        <w:t xml:space="preserve">. Les couts de missions en Haïti sont couverts par expertise France (billet d’avion, hébergement, transports locaux, perdiem, …) </w:t>
      </w:r>
      <w:r w:rsidRPr="00D826B8">
        <w:t xml:space="preserve">;   </w:t>
      </w:r>
    </w:p>
    <w:p w14:paraId="0F423070" w14:textId="143185E7" w:rsidR="00201E5B" w:rsidRPr="00D826B8" w:rsidRDefault="00201E5B" w:rsidP="00201E5B">
      <w:pPr>
        <w:pStyle w:val="ListParagraph"/>
        <w:numPr>
          <w:ilvl w:val="0"/>
          <w:numId w:val="14"/>
        </w:numPr>
        <w:spacing w:before="120"/>
      </w:pPr>
      <w:r w:rsidRPr="00D826B8">
        <w:t xml:space="preserve">Les curriculums Vitae détaillés des membres de son équipe ainsi que les références attestant de leurs compétences dans les domaines </w:t>
      </w:r>
      <w:r w:rsidR="00424452" w:rsidRPr="00D826B8">
        <w:t>retenus ;</w:t>
      </w:r>
      <w:r w:rsidRPr="00D826B8">
        <w:t xml:space="preserve"> </w:t>
      </w:r>
    </w:p>
    <w:p w14:paraId="7BE71FB9" w14:textId="385836C2" w:rsidR="00A64923" w:rsidRDefault="00201E5B" w:rsidP="00875240">
      <w:pPr>
        <w:pStyle w:val="ListParagraph"/>
      </w:pPr>
      <w:r w:rsidRPr="00D826B8">
        <w:t xml:space="preserve">Les références des </w:t>
      </w:r>
      <w:r w:rsidR="003861AD">
        <w:t xml:space="preserve">services </w:t>
      </w:r>
      <w:r w:rsidRPr="00D826B8">
        <w:t>menés dans ces domaines.</w:t>
      </w:r>
    </w:p>
    <w:p w14:paraId="119B042B" w14:textId="77777777" w:rsidR="00A64923" w:rsidRDefault="00A64923" w:rsidP="00A64923">
      <w:pPr>
        <w:spacing w:before="120"/>
        <w:jc w:val="both"/>
      </w:pPr>
    </w:p>
    <w:p w14:paraId="09E51D7B" w14:textId="77777777" w:rsidR="00A64923" w:rsidRDefault="00A64923" w:rsidP="00A64923">
      <w:pPr>
        <w:spacing w:before="120"/>
        <w:jc w:val="both"/>
      </w:pPr>
    </w:p>
    <w:p w14:paraId="2361E510" w14:textId="53F10F67" w:rsidR="003F17DD" w:rsidRDefault="003F17DD">
      <w:pPr>
        <w:spacing w:after="160" w:line="278" w:lineRule="auto"/>
      </w:pPr>
      <w:r>
        <w:br w:type="page"/>
      </w:r>
    </w:p>
    <w:p w14:paraId="0F326767" w14:textId="77777777" w:rsidR="00A64923" w:rsidRDefault="00A64923" w:rsidP="00A64923">
      <w:pPr>
        <w:spacing w:before="120"/>
        <w:jc w:val="both"/>
      </w:pPr>
    </w:p>
    <w:p w14:paraId="13F9DB96" w14:textId="6F4AC8E1" w:rsidR="00A64923" w:rsidRDefault="00A64923" w:rsidP="00A64923">
      <w:bookmarkStart w:id="0" w:name="_Hlk218780226"/>
      <w:r>
        <w:rPr>
          <w:b/>
          <w:bCs/>
          <w:noProof/>
        </w:rPr>
        <w:drawing>
          <wp:inline distT="0" distB="0" distL="0" distR="0" wp14:anchorId="2309463E" wp14:editId="64BE3F0B">
            <wp:extent cx="1733550" cy="88751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xpertise France - Fond transparen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0440" cy="891047"/>
                    </a:xfrm>
                    <a:prstGeom prst="rect">
                      <a:avLst/>
                    </a:prstGeom>
                  </pic:spPr>
                </pic:pic>
              </a:graphicData>
            </a:graphic>
          </wp:inline>
        </w:drawing>
      </w:r>
    </w:p>
    <w:p w14:paraId="7369D5B1" w14:textId="23F8A94B" w:rsidR="00A64923" w:rsidRPr="004A6B5B" w:rsidRDefault="00A64923" w:rsidP="00A64923">
      <w:pPr>
        <w:spacing w:before="240" w:after="240"/>
        <w:jc w:val="center"/>
        <w:rPr>
          <w:b/>
          <w:bCs/>
        </w:rPr>
      </w:pPr>
      <w:r>
        <w:rPr>
          <w:b/>
          <w:bCs/>
        </w:rPr>
        <w:t>DECOMPOSITION DU</w:t>
      </w:r>
      <w:r w:rsidRPr="004A6B5B">
        <w:rPr>
          <w:b/>
          <w:bCs/>
        </w:rPr>
        <w:t xml:space="preserve"> PRIX</w:t>
      </w:r>
      <w:r>
        <w:rPr>
          <w:b/>
          <w:bCs/>
        </w:rPr>
        <w:t xml:space="preserve"> GLOBAL ET FORFAITAIRE (D.P.G.F.)</w:t>
      </w:r>
      <w:r w:rsidRPr="004A6B5B">
        <w:rPr>
          <w:b/>
          <w:bCs/>
        </w:rPr>
        <w:t xml:space="preserve"> </w:t>
      </w:r>
      <w:r>
        <w:rPr>
          <w:b/>
          <w:bCs/>
        </w:rPr>
        <w:t>– Annexe n°2 du contrat</w:t>
      </w:r>
    </w:p>
    <w:p w14:paraId="3E37DD17" w14:textId="77777777" w:rsidR="00A64923" w:rsidRDefault="00A64923" w:rsidP="00A64923"/>
    <w:p w14:paraId="00298384" w14:textId="77777777" w:rsidR="00A64923" w:rsidRPr="00D6280C" w:rsidRDefault="00A64923" w:rsidP="00A64923">
      <w:pPr>
        <w:pStyle w:val="v"/>
        <w:widowControl w:val="0"/>
        <w:tabs>
          <w:tab w:val="left" w:pos="6315"/>
        </w:tabs>
        <w:spacing w:before="120" w:after="240"/>
        <w:ind w:left="556"/>
        <w:rPr>
          <w:rFonts w:asciiTheme="minorHAnsi" w:hAnsiTheme="minorHAnsi" w:cs="Arial"/>
          <w:szCs w:val="22"/>
        </w:rPr>
      </w:pPr>
      <w:r>
        <w:rPr>
          <w:rFonts w:asciiTheme="minorHAnsi" w:hAnsiTheme="minorHAnsi" w:cs="Arial"/>
          <w:szCs w:val="22"/>
        </w:rPr>
        <w:t>Le prix proposé se décompose comme suit</w:t>
      </w:r>
      <w:r w:rsidRPr="00D6280C">
        <w:rPr>
          <w:rFonts w:asciiTheme="minorHAnsi" w:hAnsiTheme="minorHAnsi" w:cs="Arial"/>
          <w:szCs w:val="22"/>
        </w:rPr>
        <w:t> :</w:t>
      </w:r>
      <w:r w:rsidRPr="00D6280C">
        <w:rPr>
          <w:rFonts w:asciiTheme="minorHAnsi" w:hAnsiTheme="minorHAnsi" w:cs="Arial"/>
          <w:szCs w:val="22"/>
        </w:rPr>
        <w:tab/>
      </w:r>
    </w:p>
    <w:tbl>
      <w:tblPr>
        <w:tblStyle w:val="TableGrid"/>
        <w:tblW w:w="5000" w:type="pct"/>
        <w:tblLook w:val="04A0" w:firstRow="1" w:lastRow="0" w:firstColumn="1" w:lastColumn="0" w:noHBand="0" w:noVBand="1"/>
      </w:tblPr>
      <w:tblGrid>
        <w:gridCol w:w="1274"/>
        <w:gridCol w:w="4817"/>
        <w:gridCol w:w="1463"/>
        <w:gridCol w:w="1508"/>
      </w:tblGrid>
      <w:tr w:rsidR="008F4017" w:rsidRPr="00601618" w14:paraId="1DF18962" w14:textId="77777777" w:rsidTr="008F4017">
        <w:trPr>
          <w:trHeight w:val="724"/>
        </w:trPr>
        <w:tc>
          <w:tcPr>
            <w:tcW w:w="3361" w:type="pct"/>
            <w:gridSpan w:val="2"/>
            <w:shd w:val="clear" w:color="auto" w:fill="E7E6E6" w:themeFill="background2"/>
            <w:vAlign w:val="center"/>
          </w:tcPr>
          <w:p w14:paraId="53A70F5B" w14:textId="77777777" w:rsidR="008F4017" w:rsidRPr="00601618" w:rsidRDefault="008F4017" w:rsidP="00A83D59">
            <w:pPr>
              <w:pStyle w:val="v"/>
              <w:widowControl w:val="0"/>
              <w:spacing w:before="60" w:after="60"/>
              <w:ind w:left="0" w:firstLine="0"/>
              <w:rPr>
                <w:rFonts w:asciiTheme="minorHAnsi" w:hAnsiTheme="minorHAnsi" w:cstheme="minorHAnsi"/>
                <w:b/>
                <w:smallCaps/>
                <w:szCs w:val="22"/>
              </w:rPr>
            </w:pPr>
            <w:r w:rsidRPr="00601618">
              <w:rPr>
                <w:rFonts w:asciiTheme="minorHAnsi" w:hAnsiTheme="minorHAnsi" w:cstheme="minorHAnsi"/>
                <w:b/>
                <w:smallCaps/>
                <w:szCs w:val="22"/>
              </w:rPr>
              <w:t>Prestations</w:t>
            </w:r>
          </w:p>
        </w:tc>
        <w:tc>
          <w:tcPr>
            <w:tcW w:w="807" w:type="pct"/>
            <w:shd w:val="clear" w:color="auto" w:fill="E7E6E6" w:themeFill="background2"/>
          </w:tcPr>
          <w:p w14:paraId="439E0E04" w14:textId="77777777" w:rsidR="008F4017" w:rsidRDefault="008F4017" w:rsidP="00A83D59">
            <w:pPr>
              <w:pStyle w:val="v"/>
              <w:widowControl w:val="0"/>
              <w:spacing w:before="60" w:after="60"/>
              <w:ind w:left="0" w:firstLine="0"/>
              <w:jc w:val="center"/>
              <w:rPr>
                <w:rFonts w:asciiTheme="minorHAnsi" w:hAnsiTheme="minorHAnsi" w:cstheme="minorHAnsi"/>
                <w:b/>
                <w:smallCaps/>
                <w:szCs w:val="22"/>
              </w:rPr>
            </w:pPr>
            <w:r w:rsidRPr="00601618">
              <w:rPr>
                <w:rFonts w:asciiTheme="minorHAnsi" w:hAnsiTheme="minorHAnsi" w:cstheme="minorHAnsi"/>
                <w:b/>
                <w:smallCaps/>
                <w:szCs w:val="22"/>
              </w:rPr>
              <w:t>Prix H.T.</w:t>
            </w:r>
          </w:p>
          <w:p w14:paraId="4B04FCF0" w14:textId="30A51207" w:rsidR="008F4017" w:rsidRPr="00601618" w:rsidRDefault="008F4017" w:rsidP="00A83D59">
            <w:pPr>
              <w:pStyle w:val="v"/>
              <w:widowControl w:val="0"/>
              <w:spacing w:before="60" w:after="60"/>
              <w:ind w:left="0" w:firstLine="0"/>
              <w:jc w:val="center"/>
              <w:rPr>
                <w:rFonts w:asciiTheme="minorHAnsi" w:hAnsiTheme="minorHAnsi" w:cstheme="minorHAnsi"/>
                <w:b/>
                <w:smallCaps/>
                <w:szCs w:val="22"/>
              </w:rPr>
            </w:pPr>
            <w:r>
              <w:rPr>
                <w:rFonts w:asciiTheme="minorHAnsi" w:hAnsiTheme="minorHAnsi" w:cstheme="minorHAnsi"/>
                <w:b/>
                <w:smallCaps/>
                <w:szCs w:val="22"/>
              </w:rPr>
              <w:t>USD</w:t>
            </w:r>
          </w:p>
        </w:tc>
        <w:tc>
          <w:tcPr>
            <w:tcW w:w="832" w:type="pct"/>
            <w:shd w:val="clear" w:color="auto" w:fill="E7E6E6" w:themeFill="background2"/>
          </w:tcPr>
          <w:p w14:paraId="1968541D" w14:textId="2B397D48" w:rsidR="008F4017" w:rsidRPr="00601618" w:rsidRDefault="008F4017" w:rsidP="00A83D59">
            <w:pPr>
              <w:pStyle w:val="v"/>
              <w:widowControl w:val="0"/>
              <w:spacing w:before="60" w:after="60"/>
              <w:ind w:left="0" w:firstLine="0"/>
              <w:jc w:val="center"/>
              <w:rPr>
                <w:rFonts w:asciiTheme="minorHAnsi" w:hAnsiTheme="minorHAnsi" w:cstheme="minorHAnsi"/>
                <w:b/>
                <w:smallCaps/>
                <w:szCs w:val="22"/>
              </w:rPr>
            </w:pPr>
            <w:r>
              <w:rPr>
                <w:rFonts w:asciiTheme="minorHAnsi" w:hAnsiTheme="minorHAnsi" w:cstheme="minorHAnsi"/>
                <w:b/>
                <w:smallCaps/>
                <w:szCs w:val="22"/>
              </w:rPr>
              <w:t>Montant HT / USD</w:t>
            </w:r>
          </w:p>
        </w:tc>
      </w:tr>
      <w:tr w:rsidR="008F4017" w:rsidRPr="00601618" w14:paraId="546B5BE2" w14:textId="77777777" w:rsidTr="00875240">
        <w:trPr>
          <w:trHeight w:val="395"/>
        </w:trPr>
        <w:tc>
          <w:tcPr>
            <w:tcW w:w="703" w:type="pct"/>
            <w:vAlign w:val="center"/>
          </w:tcPr>
          <w:p w14:paraId="56303C9B" w14:textId="77777777" w:rsidR="008F4017" w:rsidRPr="00601618"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1</w:t>
            </w:r>
          </w:p>
        </w:tc>
        <w:tc>
          <w:tcPr>
            <w:tcW w:w="2658" w:type="pct"/>
          </w:tcPr>
          <w:p w14:paraId="1391F581" w14:textId="161C607E" w:rsidR="008F4017" w:rsidRPr="00601618"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A64923">
              <w:rPr>
                <w:rFonts w:asciiTheme="minorHAnsi" w:eastAsia="Calibri" w:hAnsiTheme="minorHAnsi" w:cstheme="minorHAnsi"/>
                <w:color w:val="000000"/>
                <w:sz w:val="22"/>
                <w:szCs w:val="22"/>
              </w:rPr>
              <w:t>Un Plan de travail</w:t>
            </w:r>
            <w:r>
              <w:rPr>
                <w:rFonts w:asciiTheme="minorHAnsi" w:eastAsia="Calibri" w:hAnsiTheme="minorHAnsi" w:cstheme="minorHAnsi"/>
                <w:color w:val="000000"/>
                <w:sz w:val="22"/>
                <w:szCs w:val="22"/>
              </w:rPr>
              <w:t>.</w:t>
            </w:r>
          </w:p>
        </w:tc>
        <w:tc>
          <w:tcPr>
            <w:tcW w:w="807" w:type="pct"/>
            <w:vAlign w:val="center"/>
          </w:tcPr>
          <w:p w14:paraId="61841E9E" w14:textId="77777777" w:rsidR="008F4017" w:rsidRPr="00601618" w:rsidRDefault="008F4017" w:rsidP="00A64923">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832" w:type="pct"/>
          </w:tcPr>
          <w:p w14:paraId="24977B8D" w14:textId="77777777" w:rsidR="008F4017" w:rsidRPr="00A64923" w:rsidRDefault="008F4017" w:rsidP="00A64923">
            <w:pPr>
              <w:pStyle w:val="v"/>
              <w:widowControl w:val="0"/>
              <w:spacing w:before="60" w:after="60"/>
              <w:jc w:val="center"/>
              <w:rPr>
                <w:rFonts w:asciiTheme="minorHAnsi" w:eastAsia="Calibri" w:hAnsiTheme="minorHAnsi" w:cstheme="minorHAnsi"/>
                <w:color w:val="000000"/>
                <w:szCs w:val="22"/>
              </w:rPr>
            </w:pPr>
          </w:p>
        </w:tc>
      </w:tr>
      <w:tr w:rsidR="008F4017" w:rsidRPr="00601618" w14:paraId="3FF66340" w14:textId="77777777" w:rsidTr="00875240">
        <w:trPr>
          <w:trHeight w:val="395"/>
        </w:trPr>
        <w:tc>
          <w:tcPr>
            <w:tcW w:w="703" w:type="pct"/>
            <w:vAlign w:val="center"/>
          </w:tcPr>
          <w:p w14:paraId="35B0DC85" w14:textId="77777777" w:rsidR="008F4017" w:rsidRPr="00601618"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2</w:t>
            </w:r>
          </w:p>
        </w:tc>
        <w:tc>
          <w:tcPr>
            <w:tcW w:w="2658" w:type="pct"/>
          </w:tcPr>
          <w:p w14:paraId="5D08B7FA" w14:textId="77B3F844" w:rsidR="008F4017" w:rsidRPr="00A64923"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A64923">
              <w:rPr>
                <w:rFonts w:asciiTheme="minorHAnsi" w:eastAsia="Calibri" w:hAnsiTheme="minorHAnsi" w:cstheme="minorHAnsi"/>
                <w:color w:val="000000"/>
                <w:sz w:val="22"/>
                <w:szCs w:val="22"/>
              </w:rPr>
              <w:t>Un rapport d’état des lieux</w:t>
            </w:r>
            <w:r>
              <w:rPr>
                <w:rFonts w:asciiTheme="minorHAnsi" w:eastAsia="Calibri" w:hAnsiTheme="minorHAnsi" w:cstheme="minorHAnsi"/>
                <w:color w:val="000000"/>
                <w:sz w:val="22"/>
                <w:szCs w:val="22"/>
              </w:rPr>
              <w:t>.</w:t>
            </w:r>
          </w:p>
        </w:tc>
        <w:tc>
          <w:tcPr>
            <w:tcW w:w="807" w:type="pct"/>
            <w:vAlign w:val="center"/>
          </w:tcPr>
          <w:p w14:paraId="3286CD9C" w14:textId="77777777" w:rsidR="008F4017" w:rsidRPr="00601618" w:rsidRDefault="008F4017" w:rsidP="00A64923">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832" w:type="pct"/>
          </w:tcPr>
          <w:p w14:paraId="788AA0B3" w14:textId="77777777" w:rsidR="008F4017" w:rsidRPr="00A64923" w:rsidRDefault="008F4017" w:rsidP="00A64923">
            <w:pPr>
              <w:pStyle w:val="v"/>
              <w:widowControl w:val="0"/>
              <w:spacing w:before="60" w:after="60"/>
              <w:jc w:val="center"/>
              <w:rPr>
                <w:rFonts w:asciiTheme="minorHAnsi" w:eastAsia="Calibri" w:hAnsiTheme="minorHAnsi" w:cstheme="minorHAnsi"/>
                <w:color w:val="000000"/>
                <w:szCs w:val="22"/>
              </w:rPr>
            </w:pPr>
          </w:p>
        </w:tc>
      </w:tr>
      <w:tr w:rsidR="008F4017" w:rsidRPr="00601618" w14:paraId="6AACE59D" w14:textId="77777777" w:rsidTr="00875240">
        <w:trPr>
          <w:trHeight w:val="395"/>
        </w:trPr>
        <w:tc>
          <w:tcPr>
            <w:tcW w:w="703" w:type="pct"/>
            <w:vAlign w:val="center"/>
          </w:tcPr>
          <w:p w14:paraId="6A4A5235" w14:textId="77777777" w:rsidR="008F4017" w:rsidRPr="00601618"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3</w:t>
            </w:r>
          </w:p>
        </w:tc>
        <w:tc>
          <w:tcPr>
            <w:tcW w:w="2658" w:type="pct"/>
          </w:tcPr>
          <w:p w14:paraId="4040B1CA" w14:textId="217B669D" w:rsidR="008F4017" w:rsidRPr="00A64923" w:rsidRDefault="008F4017" w:rsidP="00A64923">
            <w:pPr>
              <w:pBdr>
                <w:top w:val="nil"/>
                <w:left w:val="nil"/>
                <w:bottom w:val="nil"/>
                <w:right w:val="nil"/>
                <w:between w:val="nil"/>
              </w:pBdr>
              <w:jc w:val="both"/>
              <w:rPr>
                <w:rFonts w:asciiTheme="minorHAnsi" w:eastAsia="Calibri" w:hAnsiTheme="minorHAnsi" w:cstheme="minorHAnsi"/>
                <w:color w:val="000000"/>
                <w:sz w:val="22"/>
                <w:szCs w:val="22"/>
              </w:rPr>
            </w:pPr>
            <w:r w:rsidRPr="00A64923">
              <w:rPr>
                <w:rFonts w:asciiTheme="minorHAnsi" w:eastAsia="Calibri" w:hAnsiTheme="minorHAnsi" w:cstheme="minorHAnsi"/>
                <w:color w:val="000000"/>
                <w:sz w:val="22"/>
                <w:szCs w:val="22"/>
              </w:rPr>
              <w:t>Les résultats de l’étude de faisabilité</w:t>
            </w:r>
            <w:r>
              <w:rPr>
                <w:rFonts w:asciiTheme="minorHAnsi" w:eastAsia="Calibri" w:hAnsiTheme="minorHAnsi" w:cstheme="minorHAnsi"/>
                <w:color w:val="000000"/>
                <w:sz w:val="22"/>
                <w:szCs w:val="22"/>
              </w:rPr>
              <w:t>.</w:t>
            </w:r>
          </w:p>
        </w:tc>
        <w:tc>
          <w:tcPr>
            <w:tcW w:w="807" w:type="pct"/>
            <w:vAlign w:val="center"/>
          </w:tcPr>
          <w:p w14:paraId="0CF179DD" w14:textId="77777777" w:rsidR="008F4017" w:rsidRPr="00601618" w:rsidRDefault="008F4017" w:rsidP="00A64923">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832" w:type="pct"/>
          </w:tcPr>
          <w:p w14:paraId="26DCC0D8" w14:textId="77777777" w:rsidR="008F4017" w:rsidRPr="00A64923" w:rsidRDefault="008F4017" w:rsidP="00A64923">
            <w:pPr>
              <w:pStyle w:val="v"/>
              <w:widowControl w:val="0"/>
              <w:spacing w:before="60" w:after="60"/>
              <w:ind w:left="0" w:firstLine="0"/>
              <w:jc w:val="center"/>
              <w:rPr>
                <w:rFonts w:asciiTheme="minorHAnsi" w:eastAsia="Calibri" w:hAnsiTheme="minorHAnsi" w:cstheme="minorHAnsi"/>
                <w:color w:val="000000"/>
                <w:szCs w:val="22"/>
              </w:rPr>
            </w:pPr>
          </w:p>
        </w:tc>
      </w:tr>
      <w:tr w:rsidR="008F4017" w:rsidRPr="00601618" w14:paraId="6984E8D8" w14:textId="77777777" w:rsidTr="00875240">
        <w:trPr>
          <w:trHeight w:val="547"/>
        </w:trPr>
        <w:tc>
          <w:tcPr>
            <w:tcW w:w="703" w:type="pct"/>
            <w:vAlign w:val="center"/>
          </w:tcPr>
          <w:p w14:paraId="05F1B58B" w14:textId="77777777" w:rsidR="008F4017" w:rsidRPr="00601618"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4</w:t>
            </w:r>
          </w:p>
        </w:tc>
        <w:tc>
          <w:tcPr>
            <w:tcW w:w="2658" w:type="pct"/>
          </w:tcPr>
          <w:p w14:paraId="24CE527D" w14:textId="14538FBF" w:rsidR="008F4017" w:rsidRPr="00A64923" w:rsidRDefault="008F4017" w:rsidP="00A64923">
            <w:pPr>
              <w:pBdr>
                <w:top w:val="nil"/>
                <w:left w:val="nil"/>
                <w:bottom w:val="nil"/>
                <w:right w:val="nil"/>
                <w:between w:val="nil"/>
              </w:pBdr>
              <w:jc w:val="both"/>
              <w:rPr>
                <w:rFonts w:asciiTheme="minorHAnsi" w:eastAsia="Calibri" w:hAnsiTheme="minorHAnsi" w:cstheme="minorHAnsi"/>
                <w:color w:val="000000"/>
                <w:sz w:val="22"/>
                <w:szCs w:val="22"/>
              </w:rPr>
            </w:pPr>
            <w:r w:rsidRPr="00A64923">
              <w:rPr>
                <w:rFonts w:asciiTheme="minorHAnsi" w:eastAsia="Calibri" w:hAnsiTheme="minorHAnsi" w:cstheme="minorHAnsi"/>
                <w:color w:val="000000"/>
                <w:sz w:val="22"/>
                <w:szCs w:val="22"/>
              </w:rPr>
              <w:t>Rapport intermédiaire présentant les propositions de mis à jour par filièr</w:t>
            </w:r>
            <w:r>
              <w:rPr>
                <w:rFonts w:asciiTheme="minorHAnsi" w:eastAsia="Calibri" w:hAnsiTheme="minorHAnsi" w:cstheme="minorHAnsi"/>
                <w:color w:val="000000"/>
                <w:sz w:val="22"/>
                <w:szCs w:val="22"/>
              </w:rPr>
              <w:t>e.</w:t>
            </w:r>
          </w:p>
        </w:tc>
        <w:tc>
          <w:tcPr>
            <w:tcW w:w="807" w:type="pct"/>
            <w:vAlign w:val="center"/>
          </w:tcPr>
          <w:p w14:paraId="1A3F59B5" w14:textId="77777777" w:rsidR="008F4017" w:rsidRPr="00601618" w:rsidRDefault="008F4017" w:rsidP="00A64923">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832" w:type="pct"/>
          </w:tcPr>
          <w:p w14:paraId="0B61357F" w14:textId="77777777" w:rsidR="008F4017" w:rsidRPr="00A64923" w:rsidRDefault="008F4017" w:rsidP="00A64923">
            <w:pPr>
              <w:pStyle w:val="v"/>
              <w:widowControl w:val="0"/>
              <w:spacing w:before="60" w:after="60"/>
              <w:ind w:left="0" w:firstLine="0"/>
              <w:jc w:val="center"/>
              <w:rPr>
                <w:rFonts w:asciiTheme="minorHAnsi" w:eastAsia="Calibri" w:hAnsiTheme="minorHAnsi" w:cstheme="minorHAnsi"/>
                <w:color w:val="000000"/>
                <w:szCs w:val="22"/>
              </w:rPr>
            </w:pPr>
          </w:p>
        </w:tc>
      </w:tr>
      <w:tr w:rsidR="008F4017" w:rsidRPr="00601618" w14:paraId="09D4BBC0" w14:textId="77777777" w:rsidTr="00875240">
        <w:trPr>
          <w:trHeight w:val="395"/>
        </w:trPr>
        <w:tc>
          <w:tcPr>
            <w:tcW w:w="703" w:type="pct"/>
            <w:vAlign w:val="center"/>
          </w:tcPr>
          <w:p w14:paraId="2AE590A5" w14:textId="77777777" w:rsidR="008F4017" w:rsidRPr="00601618"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sidRPr="00601618">
              <w:rPr>
                <w:rFonts w:asciiTheme="minorHAnsi" w:eastAsia="Calibri" w:hAnsiTheme="minorHAnsi" w:cstheme="minorHAnsi"/>
                <w:color w:val="000000"/>
                <w:sz w:val="22"/>
                <w:szCs w:val="22"/>
              </w:rPr>
              <w:t>Livrable 5</w:t>
            </w:r>
          </w:p>
        </w:tc>
        <w:tc>
          <w:tcPr>
            <w:tcW w:w="2658" w:type="pct"/>
          </w:tcPr>
          <w:p w14:paraId="43EACC2E" w14:textId="6432774C" w:rsidR="008F4017" w:rsidRPr="00A64923" w:rsidRDefault="008F4017" w:rsidP="00A64923">
            <w:pPr>
              <w:spacing w:after="27" w:line="249" w:lineRule="auto"/>
              <w:jc w:val="both"/>
              <w:rPr>
                <w:rFonts w:asciiTheme="minorHAnsi" w:eastAsia="Calibri" w:hAnsiTheme="minorHAnsi" w:cstheme="minorHAnsi"/>
                <w:color w:val="000000"/>
                <w:sz w:val="22"/>
                <w:szCs w:val="22"/>
              </w:rPr>
            </w:pPr>
            <w:r w:rsidRPr="00A64923">
              <w:rPr>
                <w:rFonts w:asciiTheme="minorHAnsi" w:eastAsia="Calibri" w:hAnsiTheme="minorHAnsi" w:cstheme="minorHAnsi"/>
                <w:color w:val="000000"/>
                <w:sz w:val="22"/>
                <w:szCs w:val="22"/>
              </w:rPr>
              <w:t>Présentation des rapports consolidés</w:t>
            </w:r>
            <w:r>
              <w:rPr>
                <w:rFonts w:asciiTheme="minorHAnsi" w:eastAsia="Calibri" w:hAnsiTheme="minorHAnsi" w:cstheme="minorHAnsi"/>
                <w:color w:val="000000"/>
                <w:sz w:val="22"/>
                <w:szCs w:val="22"/>
              </w:rPr>
              <w:t>.</w:t>
            </w:r>
          </w:p>
        </w:tc>
        <w:tc>
          <w:tcPr>
            <w:tcW w:w="807" w:type="pct"/>
            <w:vAlign w:val="center"/>
          </w:tcPr>
          <w:p w14:paraId="21A7CA11" w14:textId="77777777" w:rsidR="008F4017" w:rsidRPr="00601618" w:rsidRDefault="008F4017" w:rsidP="00A64923">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832" w:type="pct"/>
          </w:tcPr>
          <w:p w14:paraId="3CFFC159" w14:textId="77777777" w:rsidR="008F4017" w:rsidRPr="00A64923" w:rsidRDefault="008F4017" w:rsidP="00A64923">
            <w:pPr>
              <w:pStyle w:val="v"/>
              <w:widowControl w:val="0"/>
              <w:spacing w:before="60" w:after="60"/>
              <w:ind w:left="0" w:firstLine="0"/>
              <w:jc w:val="center"/>
              <w:rPr>
                <w:rFonts w:asciiTheme="minorHAnsi" w:eastAsia="Calibri" w:hAnsiTheme="minorHAnsi" w:cstheme="minorHAnsi"/>
                <w:color w:val="000000"/>
                <w:szCs w:val="22"/>
              </w:rPr>
            </w:pPr>
          </w:p>
        </w:tc>
      </w:tr>
      <w:tr w:rsidR="008F4017" w:rsidRPr="00601618" w14:paraId="170C54B3" w14:textId="77777777" w:rsidTr="00875240">
        <w:trPr>
          <w:trHeight w:val="539"/>
        </w:trPr>
        <w:tc>
          <w:tcPr>
            <w:tcW w:w="703" w:type="pct"/>
            <w:vAlign w:val="center"/>
          </w:tcPr>
          <w:p w14:paraId="413361A2" w14:textId="77777777" w:rsidR="008F4017" w:rsidRPr="00601618"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Livrable 6</w:t>
            </w:r>
          </w:p>
        </w:tc>
        <w:tc>
          <w:tcPr>
            <w:tcW w:w="2658" w:type="pct"/>
          </w:tcPr>
          <w:p w14:paraId="6B35561F" w14:textId="7F179285" w:rsidR="008F4017" w:rsidRPr="00A64923" w:rsidRDefault="008F4017" w:rsidP="00A64923">
            <w:pPr>
              <w:pBdr>
                <w:top w:val="nil"/>
                <w:left w:val="nil"/>
                <w:bottom w:val="nil"/>
                <w:right w:val="nil"/>
                <w:between w:val="nil"/>
              </w:pBdr>
              <w:jc w:val="both"/>
              <w:rPr>
                <w:rFonts w:asciiTheme="minorHAnsi" w:eastAsia="Calibri" w:hAnsiTheme="minorHAnsi" w:cstheme="minorHAnsi"/>
                <w:color w:val="000000"/>
                <w:sz w:val="22"/>
                <w:szCs w:val="22"/>
              </w:rPr>
            </w:pPr>
            <w:r w:rsidRPr="00A64923">
              <w:rPr>
                <w:rFonts w:asciiTheme="minorHAnsi" w:eastAsia="Calibri" w:hAnsiTheme="minorHAnsi" w:cstheme="minorHAnsi"/>
                <w:color w:val="000000"/>
                <w:sz w:val="22"/>
                <w:szCs w:val="22"/>
              </w:rPr>
              <w:t>Proposition de curriculum révisé pour les 4 filières</w:t>
            </w:r>
            <w:r>
              <w:rPr>
                <w:rFonts w:asciiTheme="minorHAnsi" w:eastAsia="Calibri" w:hAnsiTheme="minorHAnsi" w:cstheme="minorHAnsi"/>
                <w:color w:val="000000"/>
                <w:sz w:val="22"/>
                <w:szCs w:val="22"/>
              </w:rPr>
              <w:t>.</w:t>
            </w:r>
            <w:r w:rsidRPr="00A64923">
              <w:rPr>
                <w:rFonts w:asciiTheme="minorHAnsi" w:eastAsia="Calibri" w:hAnsiTheme="minorHAnsi" w:cstheme="minorHAnsi"/>
                <w:color w:val="000000"/>
                <w:sz w:val="22"/>
                <w:szCs w:val="22"/>
              </w:rPr>
              <w:t xml:space="preserve"> </w:t>
            </w:r>
          </w:p>
        </w:tc>
        <w:tc>
          <w:tcPr>
            <w:tcW w:w="807" w:type="pct"/>
            <w:vAlign w:val="center"/>
          </w:tcPr>
          <w:p w14:paraId="7835CE08" w14:textId="77777777" w:rsidR="008F4017" w:rsidRPr="00601618" w:rsidRDefault="008F4017" w:rsidP="00A64923">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832" w:type="pct"/>
          </w:tcPr>
          <w:p w14:paraId="432E02F7" w14:textId="77777777" w:rsidR="008F4017" w:rsidRPr="00A64923" w:rsidRDefault="008F4017" w:rsidP="00A64923">
            <w:pPr>
              <w:pStyle w:val="v"/>
              <w:widowControl w:val="0"/>
              <w:spacing w:before="60" w:after="60"/>
              <w:ind w:left="0" w:firstLine="0"/>
              <w:jc w:val="center"/>
              <w:rPr>
                <w:rFonts w:asciiTheme="minorHAnsi" w:eastAsia="Calibri" w:hAnsiTheme="minorHAnsi" w:cstheme="minorHAnsi"/>
                <w:color w:val="000000"/>
                <w:szCs w:val="22"/>
              </w:rPr>
            </w:pPr>
          </w:p>
        </w:tc>
      </w:tr>
      <w:tr w:rsidR="008F4017" w:rsidRPr="00601618" w14:paraId="11B83C0A" w14:textId="77777777" w:rsidTr="00875240">
        <w:trPr>
          <w:trHeight w:val="395"/>
        </w:trPr>
        <w:tc>
          <w:tcPr>
            <w:tcW w:w="703" w:type="pct"/>
            <w:vAlign w:val="center"/>
          </w:tcPr>
          <w:p w14:paraId="4F1A0269" w14:textId="77777777" w:rsidR="008F4017" w:rsidRPr="00601618" w:rsidRDefault="008F4017" w:rsidP="00A64923">
            <w:pPr>
              <w:widowControl w:val="0"/>
              <w:pBdr>
                <w:top w:val="nil"/>
                <w:left w:val="nil"/>
                <w:bottom w:val="nil"/>
                <w:right w:val="nil"/>
                <w:between w:val="nil"/>
              </w:pBdr>
              <w:spacing w:before="60" w:after="60"/>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Livrable 7 </w:t>
            </w:r>
          </w:p>
        </w:tc>
        <w:tc>
          <w:tcPr>
            <w:tcW w:w="2658" w:type="pct"/>
          </w:tcPr>
          <w:p w14:paraId="33DB5681" w14:textId="4432587E" w:rsidR="008F4017" w:rsidRPr="00A64923" w:rsidRDefault="008F4017" w:rsidP="00A64923">
            <w:pPr>
              <w:pBdr>
                <w:top w:val="nil"/>
                <w:left w:val="nil"/>
                <w:bottom w:val="nil"/>
                <w:right w:val="nil"/>
                <w:between w:val="nil"/>
              </w:pBdr>
              <w:jc w:val="both"/>
              <w:rPr>
                <w:rFonts w:asciiTheme="minorHAnsi" w:eastAsia="Calibri" w:hAnsiTheme="minorHAnsi" w:cstheme="minorHAnsi"/>
                <w:color w:val="000000"/>
                <w:sz w:val="22"/>
                <w:szCs w:val="22"/>
              </w:rPr>
            </w:pPr>
            <w:r w:rsidRPr="00A64923">
              <w:rPr>
                <w:rFonts w:asciiTheme="minorHAnsi" w:eastAsia="Calibri" w:hAnsiTheme="minorHAnsi" w:cstheme="minorHAnsi"/>
                <w:color w:val="000000"/>
                <w:sz w:val="22"/>
                <w:szCs w:val="22"/>
              </w:rPr>
              <w:t>Rapport final</w:t>
            </w:r>
          </w:p>
        </w:tc>
        <w:tc>
          <w:tcPr>
            <w:tcW w:w="807" w:type="pct"/>
            <w:vAlign w:val="center"/>
          </w:tcPr>
          <w:p w14:paraId="00925CF9" w14:textId="77777777" w:rsidR="008F4017" w:rsidRPr="00601618" w:rsidRDefault="008F4017" w:rsidP="00A64923">
            <w:pPr>
              <w:widowControl w:val="0"/>
              <w:pBdr>
                <w:top w:val="nil"/>
                <w:left w:val="nil"/>
                <w:bottom w:val="nil"/>
                <w:right w:val="nil"/>
                <w:between w:val="nil"/>
              </w:pBdr>
              <w:spacing w:before="60" w:after="60"/>
              <w:jc w:val="center"/>
              <w:rPr>
                <w:rFonts w:asciiTheme="minorHAnsi" w:eastAsia="Calibri" w:hAnsiTheme="minorHAnsi" w:cstheme="minorHAnsi"/>
                <w:color w:val="000000"/>
                <w:sz w:val="22"/>
                <w:szCs w:val="22"/>
              </w:rPr>
            </w:pPr>
          </w:p>
        </w:tc>
        <w:tc>
          <w:tcPr>
            <w:tcW w:w="832" w:type="pct"/>
          </w:tcPr>
          <w:p w14:paraId="0A056239" w14:textId="77777777" w:rsidR="008F4017" w:rsidRPr="00A64923" w:rsidRDefault="008F4017" w:rsidP="00A64923">
            <w:pPr>
              <w:pStyle w:val="v"/>
              <w:widowControl w:val="0"/>
              <w:spacing w:before="60" w:after="60"/>
              <w:ind w:left="0" w:firstLine="0"/>
              <w:jc w:val="center"/>
              <w:rPr>
                <w:rFonts w:asciiTheme="minorHAnsi" w:eastAsia="Calibri" w:hAnsiTheme="minorHAnsi" w:cstheme="minorHAnsi"/>
                <w:color w:val="000000"/>
                <w:szCs w:val="22"/>
              </w:rPr>
            </w:pPr>
          </w:p>
        </w:tc>
      </w:tr>
      <w:tr w:rsidR="008F4017" w:rsidRPr="00601618" w14:paraId="22666947" w14:textId="77777777" w:rsidTr="008F4017">
        <w:trPr>
          <w:trHeight w:val="395"/>
        </w:trPr>
        <w:tc>
          <w:tcPr>
            <w:tcW w:w="3361" w:type="pct"/>
            <w:gridSpan w:val="2"/>
            <w:shd w:val="clear" w:color="auto" w:fill="E7E6E6" w:themeFill="background2"/>
            <w:vAlign w:val="center"/>
          </w:tcPr>
          <w:p w14:paraId="63E40A4F" w14:textId="77777777" w:rsidR="008F4017" w:rsidRPr="00A64923" w:rsidRDefault="008F4017" w:rsidP="00A83D59">
            <w:pPr>
              <w:pStyle w:val="v"/>
              <w:widowControl w:val="0"/>
              <w:spacing w:before="60" w:after="60"/>
              <w:ind w:left="0" w:firstLine="0"/>
              <w:rPr>
                <w:rFonts w:asciiTheme="minorHAnsi" w:eastAsia="Calibri" w:hAnsiTheme="minorHAnsi" w:cstheme="minorHAnsi"/>
                <w:color w:val="000000"/>
                <w:szCs w:val="22"/>
              </w:rPr>
            </w:pPr>
            <w:r w:rsidRPr="00A64923">
              <w:rPr>
                <w:rFonts w:asciiTheme="minorHAnsi" w:eastAsia="Calibri" w:hAnsiTheme="minorHAnsi" w:cstheme="minorHAnsi"/>
                <w:color w:val="000000"/>
                <w:szCs w:val="22"/>
              </w:rPr>
              <w:t xml:space="preserve">MONTANT TOTAL </w:t>
            </w:r>
          </w:p>
        </w:tc>
        <w:tc>
          <w:tcPr>
            <w:tcW w:w="807" w:type="pct"/>
            <w:shd w:val="clear" w:color="auto" w:fill="E7E6E6" w:themeFill="background2"/>
          </w:tcPr>
          <w:p w14:paraId="3E6C6383" w14:textId="77777777" w:rsidR="008F4017" w:rsidRPr="00A64923" w:rsidRDefault="008F4017" w:rsidP="00A83D59">
            <w:pPr>
              <w:pStyle w:val="v"/>
              <w:widowControl w:val="0"/>
              <w:spacing w:before="60" w:after="60"/>
              <w:ind w:left="0" w:firstLine="0"/>
              <w:jc w:val="center"/>
              <w:rPr>
                <w:rFonts w:asciiTheme="minorHAnsi" w:eastAsia="Calibri" w:hAnsiTheme="minorHAnsi" w:cstheme="minorHAnsi"/>
                <w:color w:val="000000"/>
                <w:szCs w:val="22"/>
              </w:rPr>
            </w:pPr>
          </w:p>
        </w:tc>
        <w:tc>
          <w:tcPr>
            <w:tcW w:w="832" w:type="pct"/>
            <w:shd w:val="clear" w:color="auto" w:fill="E7E6E6" w:themeFill="background2"/>
          </w:tcPr>
          <w:p w14:paraId="5F325C79" w14:textId="77777777" w:rsidR="008F4017" w:rsidRPr="00A64923" w:rsidRDefault="008F4017" w:rsidP="00A83D59">
            <w:pPr>
              <w:pStyle w:val="v"/>
              <w:widowControl w:val="0"/>
              <w:spacing w:before="60" w:after="60"/>
              <w:ind w:left="0" w:firstLine="0"/>
              <w:jc w:val="center"/>
              <w:rPr>
                <w:rFonts w:asciiTheme="minorHAnsi" w:eastAsia="Calibri" w:hAnsiTheme="minorHAnsi" w:cstheme="minorHAnsi"/>
                <w:color w:val="000000"/>
                <w:szCs w:val="22"/>
              </w:rPr>
            </w:pPr>
          </w:p>
        </w:tc>
      </w:tr>
    </w:tbl>
    <w:p w14:paraId="4DE19C56" w14:textId="77777777" w:rsidR="00A64923" w:rsidRDefault="00A64923" w:rsidP="00A64923">
      <w:pPr>
        <w:spacing w:after="160" w:line="259" w:lineRule="auto"/>
        <w:rPr>
          <w:b/>
          <w:bCs/>
        </w:rPr>
      </w:pPr>
    </w:p>
    <w:bookmarkEnd w:id="0"/>
    <w:p w14:paraId="215601BE" w14:textId="77777777" w:rsidR="00A64923" w:rsidRPr="00D826B8" w:rsidRDefault="00A64923" w:rsidP="00A64923">
      <w:pPr>
        <w:spacing w:before="120"/>
        <w:jc w:val="both"/>
      </w:pPr>
    </w:p>
    <w:sectPr w:rsidR="00A64923" w:rsidRPr="00D826B8" w:rsidSect="00497D93">
      <w:headerReference w:type="even" r:id="rId9"/>
      <w:headerReference w:type="default" r:id="rId10"/>
      <w:footerReference w:type="even" r:id="rId11"/>
      <w:footerReference w:type="defaul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6132F" w14:textId="77777777" w:rsidR="006C5DAF" w:rsidRDefault="006C5DAF" w:rsidP="00497D93">
      <w:r>
        <w:separator/>
      </w:r>
    </w:p>
  </w:endnote>
  <w:endnote w:type="continuationSeparator" w:id="0">
    <w:p w14:paraId="550AD69D" w14:textId="77777777" w:rsidR="006C5DAF" w:rsidRDefault="006C5DAF" w:rsidP="00497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77B93" w14:textId="77777777" w:rsidR="00247E91" w:rsidRDefault="00C261ED">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182C8C0C" w14:textId="77777777" w:rsidR="00247E91" w:rsidRDefault="00247E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A69AD" w14:textId="77777777" w:rsidR="00247E91" w:rsidRPr="00F37989" w:rsidRDefault="00C261ED">
    <w:pPr>
      <w:pStyle w:val="Footer"/>
      <w:framePr w:wrap="around" w:vAnchor="text" w:hAnchor="margin" w:xAlign="right" w:y="1"/>
      <w:rPr>
        <w:rStyle w:val="PageNumber"/>
        <w:rFonts w:ascii="Calibri" w:eastAsiaTheme="majorEastAsia" w:hAnsi="Calibri"/>
        <w:sz w:val="20"/>
        <w:szCs w:val="20"/>
      </w:rPr>
    </w:pPr>
    <w:r w:rsidRPr="00F37989">
      <w:rPr>
        <w:rStyle w:val="PageNumber"/>
        <w:rFonts w:ascii="Calibri" w:eastAsiaTheme="majorEastAsia" w:hAnsi="Calibri"/>
        <w:sz w:val="20"/>
        <w:szCs w:val="20"/>
      </w:rPr>
      <w:fldChar w:fldCharType="begin"/>
    </w:r>
    <w:r w:rsidRPr="00F37989">
      <w:rPr>
        <w:rStyle w:val="PageNumber"/>
        <w:rFonts w:ascii="Calibri" w:eastAsiaTheme="majorEastAsia" w:hAnsi="Calibri"/>
        <w:sz w:val="20"/>
        <w:szCs w:val="20"/>
      </w:rPr>
      <w:instrText xml:space="preserve">PAGE  </w:instrText>
    </w:r>
    <w:r w:rsidRPr="00F37989">
      <w:rPr>
        <w:rStyle w:val="PageNumber"/>
        <w:rFonts w:ascii="Calibri" w:eastAsiaTheme="majorEastAsia" w:hAnsi="Calibri"/>
        <w:sz w:val="20"/>
        <w:szCs w:val="20"/>
      </w:rPr>
      <w:fldChar w:fldCharType="separate"/>
    </w:r>
    <w:r>
      <w:rPr>
        <w:rStyle w:val="PageNumber"/>
        <w:rFonts w:ascii="Calibri" w:eastAsiaTheme="majorEastAsia" w:hAnsi="Calibri"/>
        <w:noProof/>
        <w:sz w:val="20"/>
        <w:szCs w:val="20"/>
      </w:rPr>
      <w:t>5</w:t>
    </w:r>
    <w:r w:rsidRPr="00F37989">
      <w:rPr>
        <w:rStyle w:val="PageNumber"/>
        <w:rFonts w:ascii="Calibri" w:eastAsiaTheme="majorEastAsia" w:hAnsi="Calibri"/>
        <w:sz w:val="20"/>
        <w:szCs w:val="20"/>
      </w:rPr>
      <w:fldChar w:fldCharType="end"/>
    </w:r>
  </w:p>
  <w:p w14:paraId="6C670B96" w14:textId="77777777" w:rsidR="00247E91" w:rsidRDefault="00247E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91C15" w14:textId="727D7EA1" w:rsidR="00247E91" w:rsidRPr="00283E74" w:rsidRDefault="00C261ED">
    <w:pPr>
      <w:pStyle w:val="Footer"/>
      <w:tabs>
        <w:tab w:val="clear" w:pos="4536"/>
      </w:tabs>
      <w:rPr>
        <w:rFonts w:asciiTheme="minorHAnsi" w:hAnsiTheme="minorHAnsi"/>
        <w:sz w:val="22"/>
      </w:rPr>
    </w:pPr>
    <w:r>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Content>
        <w:sdt>
          <w:sdtPr>
            <w:rPr>
              <w:rFonts w:asciiTheme="minorHAnsi" w:hAnsiTheme="minorHAnsi"/>
              <w:sz w:val="22"/>
            </w:rPr>
            <w:id w:val="-1769616900"/>
            <w:docPartObj>
              <w:docPartGallery w:val="Page Numbers (Top of Page)"/>
              <w:docPartUnique/>
            </w:docPartObj>
          </w:sdt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DF740F">
              <w:rPr>
                <w:rFonts w:asciiTheme="minorHAnsi" w:hAnsiTheme="minorHAnsi"/>
                <w:b/>
                <w:bCs/>
                <w:noProof/>
                <w:sz w:val="22"/>
              </w:rPr>
              <w:t>8</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DF740F">
              <w:rPr>
                <w:rFonts w:asciiTheme="minorHAnsi" w:hAnsiTheme="minorHAnsi"/>
                <w:b/>
                <w:bCs/>
                <w:noProof/>
                <w:sz w:val="22"/>
              </w:rPr>
              <w:t>8</w:t>
            </w:r>
            <w:r w:rsidRPr="00283E74">
              <w:rPr>
                <w:rFonts w:asciiTheme="minorHAnsi" w:hAnsiTheme="minorHAnsi"/>
                <w:b/>
                <w:bCs/>
                <w:sz w:val="22"/>
              </w:rPr>
              <w:fldChar w:fldCharType="end"/>
            </w:r>
          </w:sdtContent>
        </w:sdt>
      </w:sdtContent>
    </w:sdt>
  </w:p>
  <w:p w14:paraId="62F7015B" w14:textId="77777777" w:rsidR="00247E91" w:rsidRPr="00283E74" w:rsidRDefault="00247E91">
    <w:pPr>
      <w:pStyle w:val="Footer"/>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C32E0" w14:textId="77777777" w:rsidR="006C5DAF" w:rsidRDefault="006C5DAF" w:rsidP="00497D93">
      <w:r>
        <w:separator/>
      </w:r>
    </w:p>
  </w:footnote>
  <w:footnote w:type="continuationSeparator" w:id="0">
    <w:p w14:paraId="4E44F8BA" w14:textId="77777777" w:rsidR="006C5DAF" w:rsidRDefault="006C5DAF" w:rsidP="00497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0AF4A" w14:textId="77777777" w:rsidR="00247E91" w:rsidRDefault="00C261ED">
    <w:pPr>
      <w:pStyle w:val="Header"/>
    </w:pPr>
    <w:r>
      <w:rPr>
        <w:noProof/>
        <w:lang w:val="en-US" w:eastAsia="en-US"/>
      </w:rPr>
      <w:drawing>
        <wp:anchor distT="0" distB="0" distL="114300" distR="114300" simplePos="0" relativeHeight="251657216" behindDoc="1" locked="0" layoutInCell="0" allowOverlap="1" wp14:anchorId="19A1EF13" wp14:editId="745D5D47">
          <wp:simplePos x="0" y="0"/>
          <wp:positionH relativeFrom="margin">
            <wp:align>center</wp:align>
          </wp:positionH>
          <wp:positionV relativeFrom="margin">
            <wp:align>center</wp:align>
          </wp:positionV>
          <wp:extent cx="10706100" cy="10693400"/>
          <wp:effectExtent l="19050" t="0" r="0" b="0"/>
          <wp:wrapNone/>
          <wp:docPr id="1515898063"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rPr>
        <w:noProof/>
      </w:rPr>
      <w:pict w14:anchorId="442824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06188" w14:textId="0155ABB8" w:rsidR="00247E91" w:rsidRPr="00707B69" w:rsidRDefault="00247E91">
    <w:pPr>
      <w:pStyle w:val="Header"/>
      <w:rPr>
        <w:rFonts w:ascii="Calibri" w:hAnsi="Calibri" w:cs="Arial"/>
      </w:rPr>
    </w:pPr>
  </w:p>
  <w:p w14:paraId="5B23DA8F" w14:textId="77777777" w:rsidR="00247E91" w:rsidRPr="00972A8E" w:rsidRDefault="00C261ED">
    <w:pPr>
      <w:pStyle w:val="Header"/>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09847958" w14:textId="77777777" w:rsidR="00247E91" w:rsidRPr="00972A8E" w:rsidRDefault="00247E91">
    <w:pPr>
      <w:pStyle w:val="Header"/>
      <w:tabs>
        <w:tab w:val="clear" w:pos="4536"/>
        <w:tab w:val="clear" w:pos="9072"/>
        <w:tab w:val="right" w:pos="9781"/>
      </w:tabs>
      <w:rPr>
        <w:rFonts w:ascii="Calibri" w:hAnsi="Calibri" w:cs="Arial"/>
        <w:sz w:val="18"/>
        <w:u w:val="single"/>
        <w:lang w:val="en-US"/>
      </w:rPr>
    </w:pPr>
  </w:p>
  <w:p w14:paraId="3A2FCCD5" w14:textId="77777777" w:rsidR="00247E91" w:rsidRPr="00932E04" w:rsidRDefault="00247E91">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2EF00F1"/>
    <w:multiLevelType w:val="hybridMultilevel"/>
    <w:tmpl w:val="8A9E2F6A"/>
    <w:lvl w:ilvl="0" w:tplc="60F6502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9D5DE7"/>
    <w:multiLevelType w:val="hybridMultilevel"/>
    <w:tmpl w:val="6B2CE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987719"/>
    <w:multiLevelType w:val="hybridMultilevel"/>
    <w:tmpl w:val="AAB68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44A57"/>
    <w:multiLevelType w:val="hybridMultilevel"/>
    <w:tmpl w:val="978C5352"/>
    <w:lvl w:ilvl="0" w:tplc="6512FB92">
      <w:start w:val="12"/>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6" w15:restartNumberingAfterBreak="0">
    <w:nsid w:val="1EA265B8"/>
    <w:multiLevelType w:val="hybridMultilevel"/>
    <w:tmpl w:val="35823846"/>
    <w:lvl w:ilvl="0" w:tplc="FEC45FA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836FB"/>
    <w:multiLevelType w:val="hybridMultilevel"/>
    <w:tmpl w:val="FA8A42EE"/>
    <w:lvl w:ilvl="0" w:tplc="19FAF0D6">
      <w:start w:val="1"/>
      <w:numFmt w:val="bullet"/>
      <w:lvlText w:val="-"/>
      <w:lvlJc w:val="left"/>
      <w:pPr>
        <w:ind w:left="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AE3012">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2623DA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CC92E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664EE0">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C70002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4F6983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2062F4">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A623E7E">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3F92EF4"/>
    <w:multiLevelType w:val="hybridMultilevel"/>
    <w:tmpl w:val="086A0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502047"/>
    <w:multiLevelType w:val="hybridMultilevel"/>
    <w:tmpl w:val="19622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3A5B47"/>
    <w:multiLevelType w:val="hybridMultilevel"/>
    <w:tmpl w:val="6AFEFA8A"/>
    <w:lvl w:ilvl="0" w:tplc="10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AF86A3C"/>
    <w:multiLevelType w:val="hybridMultilevel"/>
    <w:tmpl w:val="857E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FB3553"/>
    <w:multiLevelType w:val="hybridMultilevel"/>
    <w:tmpl w:val="E86891BA"/>
    <w:lvl w:ilvl="0" w:tplc="10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9C1149"/>
    <w:multiLevelType w:val="hybridMultilevel"/>
    <w:tmpl w:val="9D62615C"/>
    <w:lvl w:ilvl="0" w:tplc="C6F8BB3A">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165EEE"/>
    <w:multiLevelType w:val="hybridMultilevel"/>
    <w:tmpl w:val="247AE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883507"/>
    <w:multiLevelType w:val="hybridMultilevel"/>
    <w:tmpl w:val="9446E84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5525BE"/>
    <w:multiLevelType w:val="hybridMultilevel"/>
    <w:tmpl w:val="605E73E2"/>
    <w:lvl w:ilvl="0" w:tplc="92623DA8">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EF26ED"/>
    <w:multiLevelType w:val="multilevel"/>
    <w:tmpl w:val="39F0FFC4"/>
    <w:lvl w:ilvl="0">
      <w:start w:val="4"/>
      <w:numFmt w:val="decimal"/>
      <w:lvlText w:val="%1."/>
      <w:lvlJc w:val="left"/>
      <w:pPr>
        <w:ind w:left="360" w:hanging="360"/>
      </w:pPr>
      <w:rPr>
        <w:rFonts w:eastAsia="Times New Roman" w:cs="Times New Roman" w:hint="default"/>
        <w:b w:val="0"/>
      </w:rPr>
    </w:lvl>
    <w:lvl w:ilvl="1">
      <w:start w:val="1"/>
      <w:numFmt w:val="decimal"/>
      <w:lvlText w:val="%1.%2."/>
      <w:lvlJc w:val="left"/>
      <w:pPr>
        <w:ind w:left="360" w:hanging="36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720" w:hanging="72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080" w:hanging="1080"/>
      </w:pPr>
      <w:rPr>
        <w:rFonts w:eastAsia="Times New Roman" w:cs="Times New Roman" w:hint="default"/>
        <w:b w:val="0"/>
      </w:rPr>
    </w:lvl>
    <w:lvl w:ilvl="6">
      <w:start w:val="1"/>
      <w:numFmt w:val="decimal"/>
      <w:lvlText w:val="%1.%2.%3.%4.%5.%6.%7."/>
      <w:lvlJc w:val="left"/>
      <w:pPr>
        <w:ind w:left="1440" w:hanging="1440"/>
      </w:pPr>
      <w:rPr>
        <w:rFonts w:eastAsia="Times New Roman" w:cs="Times New Roman" w:hint="default"/>
        <w:b w:val="0"/>
      </w:rPr>
    </w:lvl>
    <w:lvl w:ilvl="7">
      <w:start w:val="1"/>
      <w:numFmt w:val="decimal"/>
      <w:lvlText w:val="%1.%2.%3.%4.%5.%6.%7.%8."/>
      <w:lvlJc w:val="left"/>
      <w:pPr>
        <w:ind w:left="1440" w:hanging="1440"/>
      </w:pPr>
      <w:rPr>
        <w:rFonts w:eastAsia="Times New Roman" w:cs="Times New Roman" w:hint="default"/>
        <w:b w:val="0"/>
      </w:rPr>
    </w:lvl>
    <w:lvl w:ilvl="8">
      <w:start w:val="1"/>
      <w:numFmt w:val="decimal"/>
      <w:lvlText w:val="%1.%2.%3.%4.%5.%6.%7.%8.%9."/>
      <w:lvlJc w:val="left"/>
      <w:pPr>
        <w:ind w:left="1800" w:hanging="1800"/>
      </w:pPr>
      <w:rPr>
        <w:rFonts w:eastAsia="Times New Roman" w:cs="Times New Roman" w:hint="default"/>
        <w:b w:val="0"/>
      </w:rPr>
    </w:lvl>
  </w:abstractNum>
  <w:abstractNum w:abstractNumId="18" w15:restartNumberingAfterBreak="0">
    <w:nsid w:val="5E1A4323"/>
    <w:multiLevelType w:val="hybridMultilevel"/>
    <w:tmpl w:val="9AA6780C"/>
    <w:lvl w:ilvl="0" w:tplc="FEC45FA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F1300D"/>
    <w:multiLevelType w:val="hybridMultilevel"/>
    <w:tmpl w:val="41942E7A"/>
    <w:lvl w:ilvl="0" w:tplc="FEC45FA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1A20B9"/>
    <w:multiLevelType w:val="hybridMultilevel"/>
    <w:tmpl w:val="F724AD3A"/>
    <w:lvl w:ilvl="0" w:tplc="EF6E0298">
      <w:start w:val="1"/>
      <w:numFmt w:val="upp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69D5FF8"/>
    <w:multiLevelType w:val="hybridMultilevel"/>
    <w:tmpl w:val="4C10605A"/>
    <w:lvl w:ilvl="0" w:tplc="4816EE66">
      <w:start w:val="1"/>
      <w:numFmt w:val="decimal"/>
      <w:lvlText w:val="%1."/>
      <w:lvlJc w:val="left"/>
      <w:pPr>
        <w:ind w:left="360" w:hanging="360"/>
      </w:pPr>
      <w:rPr>
        <w:rFonts w:ascii="Arial" w:hAnsi="Arial"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BE55478"/>
    <w:multiLevelType w:val="multilevel"/>
    <w:tmpl w:val="9C8AC4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59567591">
    <w:abstractNumId w:val="1"/>
  </w:num>
  <w:num w:numId="2" w16cid:durableId="1740595322">
    <w:abstractNumId w:val="0"/>
  </w:num>
  <w:num w:numId="3" w16cid:durableId="1571118874">
    <w:abstractNumId w:val="16"/>
  </w:num>
  <w:num w:numId="4" w16cid:durableId="1629360265">
    <w:abstractNumId w:val="7"/>
  </w:num>
  <w:num w:numId="5" w16cid:durableId="652487156">
    <w:abstractNumId w:val="20"/>
  </w:num>
  <w:num w:numId="6" w16cid:durableId="897740720">
    <w:abstractNumId w:val="6"/>
  </w:num>
  <w:num w:numId="7" w16cid:durableId="31200562">
    <w:abstractNumId w:val="18"/>
  </w:num>
  <w:num w:numId="8" w16cid:durableId="1604459105">
    <w:abstractNumId w:val="19"/>
  </w:num>
  <w:num w:numId="9" w16cid:durableId="935288782">
    <w:abstractNumId w:val="17"/>
  </w:num>
  <w:num w:numId="10" w16cid:durableId="367881438">
    <w:abstractNumId w:val="3"/>
  </w:num>
  <w:num w:numId="11" w16cid:durableId="1334260475">
    <w:abstractNumId w:val="21"/>
  </w:num>
  <w:num w:numId="12" w16cid:durableId="7679938">
    <w:abstractNumId w:val="11"/>
  </w:num>
  <w:num w:numId="13" w16cid:durableId="1451973273">
    <w:abstractNumId w:val="13"/>
  </w:num>
  <w:num w:numId="14" w16cid:durableId="54282439">
    <w:abstractNumId w:val="2"/>
  </w:num>
  <w:num w:numId="15" w16cid:durableId="1122577819">
    <w:abstractNumId w:val="4"/>
  </w:num>
  <w:num w:numId="16" w16cid:durableId="1790469137">
    <w:abstractNumId w:val="9"/>
  </w:num>
  <w:num w:numId="17" w16cid:durableId="704410214">
    <w:abstractNumId w:val="14"/>
  </w:num>
  <w:num w:numId="18" w16cid:durableId="102001647">
    <w:abstractNumId w:val="12"/>
  </w:num>
  <w:num w:numId="19" w16cid:durableId="24210658">
    <w:abstractNumId w:val="10"/>
  </w:num>
  <w:num w:numId="20" w16cid:durableId="155611888">
    <w:abstractNumId w:val="15"/>
  </w:num>
  <w:num w:numId="21" w16cid:durableId="978416221">
    <w:abstractNumId w:val="22"/>
  </w:num>
  <w:num w:numId="22" w16cid:durableId="556624837">
    <w:abstractNumId w:val="5"/>
  </w:num>
  <w:num w:numId="23" w16cid:durableId="8238179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D93"/>
    <w:rsid w:val="00027A27"/>
    <w:rsid w:val="00043B97"/>
    <w:rsid w:val="000530F9"/>
    <w:rsid w:val="00063CDA"/>
    <w:rsid w:val="00083733"/>
    <w:rsid w:val="0009447A"/>
    <w:rsid w:val="000C00D3"/>
    <w:rsid w:val="00112721"/>
    <w:rsid w:val="001202F1"/>
    <w:rsid w:val="001210F8"/>
    <w:rsid w:val="001467DC"/>
    <w:rsid w:val="00176A9C"/>
    <w:rsid w:val="001C59CF"/>
    <w:rsid w:val="001F6D3C"/>
    <w:rsid w:val="00201E5B"/>
    <w:rsid w:val="0020421D"/>
    <w:rsid w:val="00204243"/>
    <w:rsid w:val="00220462"/>
    <w:rsid w:val="0024150F"/>
    <w:rsid w:val="00245B8E"/>
    <w:rsid w:val="00247E91"/>
    <w:rsid w:val="002E0110"/>
    <w:rsid w:val="00312237"/>
    <w:rsid w:val="00357ABA"/>
    <w:rsid w:val="00367CBE"/>
    <w:rsid w:val="003861AD"/>
    <w:rsid w:val="003927D5"/>
    <w:rsid w:val="003A5693"/>
    <w:rsid w:val="003D3953"/>
    <w:rsid w:val="003E0034"/>
    <w:rsid w:val="003F17DD"/>
    <w:rsid w:val="004128B2"/>
    <w:rsid w:val="00422A45"/>
    <w:rsid w:val="00424452"/>
    <w:rsid w:val="004305C4"/>
    <w:rsid w:val="00430C2B"/>
    <w:rsid w:val="00497D93"/>
    <w:rsid w:val="004A578C"/>
    <w:rsid w:val="004D77FA"/>
    <w:rsid w:val="004F5DBA"/>
    <w:rsid w:val="0050241E"/>
    <w:rsid w:val="005100AD"/>
    <w:rsid w:val="00541D72"/>
    <w:rsid w:val="005647C0"/>
    <w:rsid w:val="00574689"/>
    <w:rsid w:val="0059637A"/>
    <w:rsid w:val="005B3427"/>
    <w:rsid w:val="005B48A3"/>
    <w:rsid w:val="005C24A0"/>
    <w:rsid w:val="006257D8"/>
    <w:rsid w:val="006407F8"/>
    <w:rsid w:val="006478CB"/>
    <w:rsid w:val="006C2B57"/>
    <w:rsid w:val="006C5DAF"/>
    <w:rsid w:val="006D754F"/>
    <w:rsid w:val="006F0601"/>
    <w:rsid w:val="006F446E"/>
    <w:rsid w:val="006F77A7"/>
    <w:rsid w:val="0070327A"/>
    <w:rsid w:val="007438E3"/>
    <w:rsid w:val="00770F37"/>
    <w:rsid w:val="007A2D56"/>
    <w:rsid w:val="007E71A2"/>
    <w:rsid w:val="007F620C"/>
    <w:rsid w:val="00836963"/>
    <w:rsid w:val="00875240"/>
    <w:rsid w:val="008B7DD5"/>
    <w:rsid w:val="008C02AF"/>
    <w:rsid w:val="008C14D9"/>
    <w:rsid w:val="008F4017"/>
    <w:rsid w:val="00915436"/>
    <w:rsid w:val="00923B7D"/>
    <w:rsid w:val="00937B75"/>
    <w:rsid w:val="0096775E"/>
    <w:rsid w:val="009B7B15"/>
    <w:rsid w:val="009C651C"/>
    <w:rsid w:val="009D1B2C"/>
    <w:rsid w:val="00A46A1A"/>
    <w:rsid w:val="00A52060"/>
    <w:rsid w:val="00A64923"/>
    <w:rsid w:val="00A87632"/>
    <w:rsid w:val="00A96E60"/>
    <w:rsid w:val="00B51DA7"/>
    <w:rsid w:val="00BA4673"/>
    <w:rsid w:val="00BB3320"/>
    <w:rsid w:val="00C261ED"/>
    <w:rsid w:val="00C442C9"/>
    <w:rsid w:val="00C75C4C"/>
    <w:rsid w:val="00C92DB1"/>
    <w:rsid w:val="00CA2571"/>
    <w:rsid w:val="00D41760"/>
    <w:rsid w:val="00D420AB"/>
    <w:rsid w:val="00D54D8F"/>
    <w:rsid w:val="00D75AA2"/>
    <w:rsid w:val="00D826B8"/>
    <w:rsid w:val="00DE176A"/>
    <w:rsid w:val="00DE3EFC"/>
    <w:rsid w:val="00DF740F"/>
    <w:rsid w:val="00E01B7B"/>
    <w:rsid w:val="00E1410B"/>
    <w:rsid w:val="00E36CD4"/>
    <w:rsid w:val="00E52284"/>
    <w:rsid w:val="00E70367"/>
    <w:rsid w:val="00EA35BD"/>
    <w:rsid w:val="00EB4C06"/>
    <w:rsid w:val="00EC0615"/>
    <w:rsid w:val="00EF18F3"/>
    <w:rsid w:val="00F0519E"/>
    <w:rsid w:val="00F64516"/>
    <w:rsid w:val="00F672DB"/>
    <w:rsid w:val="00F97A99"/>
    <w:rsid w:val="00FB407E"/>
    <w:rsid w:val="00FE76CE"/>
    <w:rsid w:val="00FF3691"/>
    <w:rsid w:val="00FF7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DB197"/>
  <w15:docId w15:val="{4A8A3717-C103-4C43-A590-8C655A97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D93"/>
    <w:pPr>
      <w:spacing w:after="0" w:line="240" w:lineRule="auto"/>
    </w:pPr>
    <w:rPr>
      <w:rFonts w:ascii="Times New Roman" w:eastAsia="Times New Roman" w:hAnsi="Times New Roman" w:cs="Times New Roman"/>
      <w:kern w:val="0"/>
      <w:lang w:val="fr-FR" w:eastAsia="fr-FR"/>
      <w14:ligatures w14:val="none"/>
    </w:rPr>
  </w:style>
  <w:style w:type="paragraph" w:styleId="Heading1">
    <w:name w:val="heading 1"/>
    <w:basedOn w:val="Normal"/>
    <w:next w:val="Normal"/>
    <w:link w:val="Heading1Char"/>
    <w:uiPriority w:val="9"/>
    <w:qFormat/>
    <w:rsid w:val="00497D9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97D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97D9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97D9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97D9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97D9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7D9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7D9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7D9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D9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97D9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97D9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97D9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97D9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97D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7D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7D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7D93"/>
    <w:rPr>
      <w:rFonts w:eastAsiaTheme="majorEastAsia" w:cstheme="majorBidi"/>
      <w:color w:val="272727" w:themeColor="text1" w:themeTint="D8"/>
    </w:rPr>
  </w:style>
  <w:style w:type="paragraph" w:styleId="Title">
    <w:name w:val="Title"/>
    <w:basedOn w:val="Normal"/>
    <w:next w:val="Normal"/>
    <w:link w:val="TitleChar"/>
    <w:uiPriority w:val="10"/>
    <w:qFormat/>
    <w:rsid w:val="00497D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7D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7D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7D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7D93"/>
    <w:pPr>
      <w:spacing w:before="160"/>
      <w:jc w:val="center"/>
    </w:pPr>
    <w:rPr>
      <w:i/>
      <w:iCs/>
      <w:color w:val="404040" w:themeColor="text1" w:themeTint="BF"/>
    </w:rPr>
  </w:style>
  <w:style w:type="character" w:customStyle="1" w:styleId="QuoteChar">
    <w:name w:val="Quote Char"/>
    <w:basedOn w:val="DefaultParagraphFont"/>
    <w:link w:val="Quote"/>
    <w:uiPriority w:val="29"/>
    <w:rsid w:val="00497D93"/>
    <w:rPr>
      <w:i/>
      <w:iCs/>
      <w:color w:val="404040" w:themeColor="text1" w:themeTint="BF"/>
    </w:rPr>
  </w:style>
  <w:style w:type="paragraph" w:styleId="ListParagraph">
    <w:name w:val="List Paragraph"/>
    <w:aliases w:val="List Paragraph (numbered (a))"/>
    <w:basedOn w:val="Normal"/>
    <w:link w:val="ListParagraphChar"/>
    <w:uiPriority w:val="34"/>
    <w:qFormat/>
    <w:rsid w:val="00497D93"/>
    <w:pPr>
      <w:ind w:left="720"/>
      <w:contextualSpacing/>
    </w:pPr>
  </w:style>
  <w:style w:type="character" w:styleId="IntenseEmphasis">
    <w:name w:val="Intense Emphasis"/>
    <w:basedOn w:val="DefaultParagraphFont"/>
    <w:uiPriority w:val="21"/>
    <w:qFormat/>
    <w:rsid w:val="00497D93"/>
    <w:rPr>
      <w:i/>
      <w:iCs/>
      <w:color w:val="2F5496" w:themeColor="accent1" w:themeShade="BF"/>
    </w:rPr>
  </w:style>
  <w:style w:type="paragraph" w:styleId="IntenseQuote">
    <w:name w:val="Intense Quote"/>
    <w:basedOn w:val="Normal"/>
    <w:next w:val="Normal"/>
    <w:link w:val="IntenseQuoteChar"/>
    <w:uiPriority w:val="30"/>
    <w:qFormat/>
    <w:rsid w:val="00497D9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97D93"/>
    <w:rPr>
      <w:i/>
      <w:iCs/>
      <w:color w:val="2F5496" w:themeColor="accent1" w:themeShade="BF"/>
    </w:rPr>
  </w:style>
  <w:style w:type="character" w:styleId="IntenseReference">
    <w:name w:val="Intense Reference"/>
    <w:basedOn w:val="DefaultParagraphFont"/>
    <w:uiPriority w:val="32"/>
    <w:qFormat/>
    <w:rsid w:val="00497D93"/>
    <w:rPr>
      <w:b/>
      <w:bCs/>
      <w:smallCaps/>
      <w:color w:val="2F5496" w:themeColor="accent1" w:themeShade="BF"/>
      <w:spacing w:val="5"/>
    </w:rPr>
  </w:style>
  <w:style w:type="table" w:styleId="TableGrid">
    <w:name w:val="Table Grid"/>
    <w:basedOn w:val="TableNormal"/>
    <w:uiPriority w:val="59"/>
    <w:rsid w:val="00497D93"/>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97D93"/>
    <w:pPr>
      <w:tabs>
        <w:tab w:val="center" w:pos="4536"/>
        <w:tab w:val="right" w:pos="9072"/>
      </w:tabs>
    </w:pPr>
  </w:style>
  <w:style w:type="character" w:customStyle="1" w:styleId="HeaderChar">
    <w:name w:val="Header Char"/>
    <w:basedOn w:val="DefaultParagraphFont"/>
    <w:link w:val="Header"/>
    <w:uiPriority w:val="99"/>
    <w:rsid w:val="00497D93"/>
    <w:rPr>
      <w:rFonts w:ascii="Times New Roman" w:eastAsia="Times New Roman" w:hAnsi="Times New Roman" w:cs="Times New Roman"/>
      <w:kern w:val="0"/>
      <w:lang w:val="fr-FR" w:eastAsia="fr-FR"/>
      <w14:ligatures w14:val="none"/>
    </w:rPr>
  </w:style>
  <w:style w:type="paragraph" w:styleId="Footer">
    <w:name w:val="footer"/>
    <w:basedOn w:val="Normal"/>
    <w:link w:val="FooterChar"/>
    <w:uiPriority w:val="99"/>
    <w:rsid w:val="00497D93"/>
    <w:pPr>
      <w:tabs>
        <w:tab w:val="center" w:pos="4536"/>
        <w:tab w:val="right" w:pos="9072"/>
      </w:tabs>
    </w:pPr>
  </w:style>
  <w:style w:type="character" w:customStyle="1" w:styleId="FooterChar">
    <w:name w:val="Footer Char"/>
    <w:basedOn w:val="DefaultParagraphFont"/>
    <w:link w:val="Footer"/>
    <w:uiPriority w:val="99"/>
    <w:rsid w:val="00497D93"/>
    <w:rPr>
      <w:rFonts w:ascii="Times New Roman" w:eastAsia="Times New Roman" w:hAnsi="Times New Roman" w:cs="Times New Roman"/>
      <w:kern w:val="0"/>
      <w:lang w:val="fr-FR" w:eastAsia="fr-FR"/>
      <w14:ligatures w14:val="none"/>
    </w:rPr>
  </w:style>
  <w:style w:type="character" w:styleId="PageNumber">
    <w:name w:val="page number"/>
    <w:basedOn w:val="DefaultParagraphFont"/>
    <w:rsid w:val="00497D93"/>
  </w:style>
  <w:style w:type="table" w:customStyle="1" w:styleId="Grilledutableau1">
    <w:name w:val="Grille du tableau1"/>
    <w:basedOn w:val="TableNormal"/>
    <w:next w:val="TableGrid"/>
    <w:uiPriority w:val="39"/>
    <w:rsid w:val="00497D93"/>
    <w:pPr>
      <w:spacing w:after="0" w:line="240" w:lineRule="auto"/>
    </w:pPr>
    <w:rPr>
      <w:kern w:val="0"/>
      <w:sz w:val="22"/>
      <w:szCs w:val="22"/>
      <w:lang w:val="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Normal"/>
    <w:rsid w:val="00497D93"/>
    <w:pPr>
      <w:overflowPunct w:val="0"/>
      <w:autoSpaceDE w:val="0"/>
      <w:autoSpaceDN w:val="0"/>
      <w:adjustRightInd w:val="0"/>
      <w:jc w:val="both"/>
      <w:textAlignment w:val="baseline"/>
    </w:pPr>
    <w:rPr>
      <w:rFonts w:ascii="Arial" w:hAnsi="Arial"/>
      <w:sz w:val="22"/>
      <w:szCs w:val="20"/>
    </w:rPr>
  </w:style>
  <w:style w:type="paragraph" w:styleId="NoSpacing">
    <w:name w:val="No Spacing"/>
    <w:uiPriority w:val="1"/>
    <w:qFormat/>
    <w:rsid w:val="00497D93"/>
    <w:pPr>
      <w:spacing w:after="0" w:line="240" w:lineRule="auto"/>
    </w:pPr>
    <w:rPr>
      <w:rFonts w:ascii="Times New Roman" w:eastAsia="Times New Roman" w:hAnsi="Times New Roman" w:cs="Times New Roman"/>
      <w:kern w:val="0"/>
      <w:lang w:val="fr-FR" w:eastAsia="fr-FR"/>
      <w14:ligatures w14:val="none"/>
    </w:rPr>
  </w:style>
  <w:style w:type="character" w:customStyle="1" w:styleId="ListParagraphChar">
    <w:name w:val="List Paragraph Char"/>
    <w:aliases w:val="List Paragraph (numbered (a)) Char"/>
    <w:basedOn w:val="DefaultParagraphFont"/>
    <w:link w:val="ListParagraph"/>
    <w:uiPriority w:val="34"/>
    <w:locked/>
    <w:rsid w:val="00497D93"/>
  </w:style>
  <w:style w:type="character" w:styleId="CommentReference">
    <w:name w:val="annotation reference"/>
    <w:basedOn w:val="DefaultParagraphFont"/>
    <w:uiPriority w:val="99"/>
    <w:semiHidden/>
    <w:unhideWhenUsed/>
    <w:rsid w:val="0020421D"/>
    <w:rPr>
      <w:sz w:val="16"/>
      <w:szCs w:val="16"/>
    </w:rPr>
  </w:style>
  <w:style w:type="paragraph" w:styleId="CommentText">
    <w:name w:val="annotation text"/>
    <w:basedOn w:val="Normal"/>
    <w:link w:val="CommentTextChar"/>
    <w:uiPriority w:val="99"/>
    <w:unhideWhenUsed/>
    <w:rsid w:val="0020421D"/>
    <w:rPr>
      <w:sz w:val="20"/>
      <w:szCs w:val="20"/>
    </w:rPr>
  </w:style>
  <w:style w:type="character" w:customStyle="1" w:styleId="CommentTextChar">
    <w:name w:val="Comment Text Char"/>
    <w:basedOn w:val="DefaultParagraphFont"/>
    <w:link w:val="CommentText"/>
    <w:uiPriority w:val="99"/>
    <w:rsid w:val="0020421D"/>
    <w:rPr>
      <w:rFonts w:ascii="Times New Roman" w:eastAsia="Times New Roman" w:hAnsi="Times New Roman" w:cs="Times New Roman"/>
      <w:kern w:val="0"/>
      <w:sz w:val="20"/>
      <w:szCs w:val="20"/>
      <w:lang w:val="fr-FR" w:eastAsia="fr-FR"/>
      <w14:ligatures w14:val="none"/>
    </w:rPr>
  </w:style>
  <w:style w:type="paragraph" w:styleId="CommentSubject">
    <w:name w:val="annotation subject"/>
    <w:basedOn w:val="CommentText"/>
    <w:next w:val="CommentText"/>
    <w:link w:val="CommentSubjectChar"/>
    <w:uiPriority w:val="99"/>
    <w:semiHidden/>
    <w:unhideWhenUsed/>
    <w:rsid w:val="0020421D"/>
    <w:rPr>
      <w:b/>
      <w:bCs/>
    </w:rPr>
  </w:style>
  <w:style w:type="character" w:customStyle="1" w:styleId="CommentSubjectChar">
    <w:name w:val="Comment Subject Char"/>
    <w:basedOn w:val="CommentTextChar"/>
    <w:link w:val="CommentSubject"/>
    <w:uiPriority w:val="99"/>
    <w:semiHidden/>
    <w:rsid w:val="0020421D"/>
    <w:rPr>
      <w:rFonts w:ascii="Times New Roman" w:eastAsia="Times New Roman" w:hAnsi="Times New Roman" w:cs="Times New Roman"/>
      <w:b/>
      <w:bCs/>
      <w:kern w:val="0"/>
      <w:sz w:val="20"/>
      <w:szCs w:val="20"/>
      <w:lang w:val="fr-FR" w:eastAsia="fr-FR"/>
      <w14:ligatures w14:val="none"/>
    </w:rPr>
  </w:style>
  <w:style w:type="paragraph" w:styleId="Revision">
    <w:name w:val="Revision"/>
    <w:hidden/>
    <w:uiPriority w:val="99"/>
    <w:semiHidden/>
    <w:rsid w:val="003A5693"/>
    <w:pPr>
      <w:spacing w:after="0" w:line="240" w:lineRule="auto"/>
    </w:pPr>
    <w:rPr>
      <w:rFonts w:ascii="Times New Roman" w:eastAsia="Times New Roman" w:hAnsi="Times New Roman" w:cs="Times New Roman"/>
      <w:kern w:val="0"/>
      <w:lang w:val="fr-FR" w:eastAsia="fr-FR"/>
      <w14:ligatures w14:val="none"/>
    </w:rPr>
  </w:style>
  <w:style w:type="paragraph" w:styleId="BalloonText">
    <w:name w:val="Balloon Text"/>
    <w:basedOn w:val="Normal"/>
    <w:link w:val="BalloonTextChar"/>
    <w:uiPriority w:val="99"/>
    <w:semiHidden/>
    <w:unhideWhenUsed/>
    <w:rsid w:val="0009447A"/>
    <w:rPr>
      <w:rFonts w:ascii="Tahoma" w:hAnsi="Tahoma" w:cs="Tahoma"/>
      <w:sz w:val="16"/>
      <w:szCs w:val="16"/>
    </w:rPr>
  </w:style>
  <w:style w:type="character" w:customStyle="1" w:styleId="BalloonTextChar">
    <w:name w:val="Balloon Text Char"/>
    <w:basedOn w:val="DefaultParagraphFont"/>
    <w:link w:val="BalloonText"/>
    <w:uiPriority w:val="99"/>
    <w:semiHidden/>
    <w:rsid w:val="0009447A"/>
    <w:rPr>
      <w:rFonts w:ascii="Tahoma" w:eastAsia="Times New Roman" w:hAnsi="Tahoma" w:cs="Tahoma"/>
      <w:kern w:val="0"/>
      <w:sz w:val="16"/>
      <w:szCs w:val="16"/>
      <w:lang w:val="fr-FR" w:eastAsia="fr-FR"/>
      <w14:ligatures w14:val="none"/>
    </w:rPr>
  </w:style>
  <w:style w:type="character" w:styleId="Hyperlink">
    <w:name w:val="Hyperlink"/>
    <w:basedOn w:val="DefaultParagraphFont"/>
    <w:uiPriority w:val="99"/>
    <w:unhideWhenUsed/>
    <w:rsid w:val="003E0034"/>
    <w:rPr>
      <w:color w:val="0563C1" w:themeColor="hyperlink"/>
      <w:u w:val="single"/>
    </w:rPr>
  </w:style>
  <w:style w:type="paragraph" w:customStyle="1" w:styleId="TableParagraph">
    <w:name w:val="Table Paragraph"/>
    <w:basedOn w:val="Normal"/>
    <w:uiPriority w:val="1"/>
    <w:qFormat/>
    <w:rsid w:val="00D826B8"/>
    <w:pPr>
      <w:widowControl w:val="0"/>
      <w:autoSpaceDE w:val="0"/>
      <w:autoSpaceDN w:val="0"/>
    </w:pPr>
    <w:rPr>
      <w:sz w:val="22"/>
      <w:szCs w:val="22"/>
      <w:lang w:eastAsia="en-US"/>
    </w:rPr>
  </w:style>
  <w:style w:type="paragraph" w:styleId="NormalWeb">
    <w:name w:val="Normal (Web)"/>
    <w:basedOn w:val="Normal"/>
    <w:uiPriority w:val="99"/>
    <w:unhideWhenUsed/>
    <w:rsid w:val="00D826B8"/>
    <w:pPr>
      <w:spacing w:before="100" w:beforeAutospacing="1" w:after="100" w:afterAutospacing="1"/>
    </w:pPr>
    <w:rPr>
      <w:lang w:val="en-US" w:eastAsia="en-US"/>
    </w:rPr>
  </w:style>
  <w:style w:type="character" w:styleId="Emphasis">
    <w:name w:val="Emphasis"/>
    <w:basedOn w:val="DefaultParagraphFont"/>
    <w:uiPriority w:val="20"/>
    <w:qFormat/>
    <w:rsid w:val="00D826B8"/>
    <w:rPr>
      <w:i/>
      <w:iCs/>
    </w:rPr>
  </w:style>
  <w:style w:type="paragraph" w:customStyle="1" w:styleId="v">
    <w:name w:val="v"/>
    <w:basedOn w:val="Normal"/>
    <w:rsid w:val="00A64923"/>
    <w:pPr>
      <w:overflowPunct w:val="0"/>
      <w:autoSpaceDE w:val="0"/>
      <w:autoSpaceDN w:val="0"/>
      <w:adjustRightInd w:val="0"/>
      <w:ind w:left="562" w:hanging="562"/>
      <w:jc w:val="both"/>
      <w:textAlignment w:val="baseline"/>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1855B-C327-4E71-B9E6-0B2FAA4D8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1906</Words>
  <Characters>10870</Characters>
  <Application>Microsoft Office Word</Application>
  <DocSecurity>0</DocSecurity>
  <Lines>90</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2026-02-10T13:15:00Z</dcterms:created>
  <dcterms:modified xsi:type="dcterms:W3CDTF">2026-02-10T13:15:00Z</dcterms:modified>
</cp:coreProperties>
</file>